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41F6" w14:textId="5ED873E7" w:rsidR="00335D53" w:rsidRPr="00FE71F3" w:rsidRDefault="00FE71F3" w:rsidP="00FE71F3">
      <w:pPr>
        <w:pStyle w:val="Heading1"/>
      </w:pPr>
      <w:r w:rsidRPr="00FE71F3">
        <w:t>Regency Intrastate Gas</w:t>
      </w:r>
      <w:r w:rsidR="00335D53" w:rsidRPr="00FE71F3">
        <w:t>, LLC</w:t>
      </w:r>
      <w:r w:rsidRPr="00FE71F3">
        <w:t xml:space="preserve"> </w:t>
      </w:r>
      <w:r w:rsidRPr="00FE71F3">
        <w:t>v.</w:t>
      </w:r>
      <w:r w:rsidRPr="00FE71F3">
        <w:t xml:space="preserve"> </w:t>
      </w:r>
      <w:r w:rsidRPr="00FE71F3">
        <w:t>Louisiana Tax Commission, et. al.</w:t>
      </w:r>
      <w:r w:rsidRPr="00FE71F3">
        <w:t xml:space="preserve">, </w:t>
      </w:r>
      <w:r w:rsidR="00335D53" w:rsidRPr="00FE71F3">
        <w:t>B</w:t>
      </w:r>
      <w:r w:rsidRPr="00FE71F3">
        <w:t>.</w:t>
      </w:r>
      <w:r w:rsidR="00335D53" w:rsidRPr="00FE71F3">
        <w:t>T</w:t>
      </w:r>
      <w:r w:rsidRPr="00FE71F3">
        <w:t>.</w:t>
      </w:r>
      <w:r w:rsidR="00335D53" w:rsidRPr="00FE71F3">
        <w:t>A</w:t>
      </w:r>
      <w:r w:rsidRPr="00FE71F3">
        <w:t>.</w:t>
      </w:r>
      <w:r w:rsidR="00335D53" w:rsidRPr="00FE71F3">
        <w:t xml:space="preserve"> </w:t>
      </w:r>
      <w:r w:rsidRPr="00FE71F3">
        <w:t>Docket No</w:t>
      </w:r>
      <w:r w:rsidR="00335D53" w:rsidRPr="00FE71F3">
        <w:t>. L01813</w:t>
      </w:r>
      <w:r w:rsidRPr="00FE71F3">
        <w:t xml:space="preserve">, </w:t>
      </w:r>
      <w:r w:rsidR="00335D53" w:rsidRPr="00FE71F3">
        <w:t>consolidated with</w:t>
      </w:r>
      <w:r w:rsidRPr="00FE71F3">
        <w:t xml:space="preserve"> </w:t>
      </w:r>
      <w:r w:rsidRPr="00FE71F3">
        <w:t>Regency Intrastate Gas, LLC</w:t>
      </w:r>
      <w:r w:rsidRPr="00FE71F3">
        <w:t xml:space="preserve"> </w:t>
      </w:r>
      <w:r w:rsidRPr="00FE71F3">
        <w:t>v.</w:t>
      </w:r>
      <w:r w:rsidRPr="00FE71F3">
        <w:t xml:space="preserve"> C</w:t>
      </w:r>
      <w:r w:rsidRPr="00FE71F3">
        <w:t xml:space="preserve">aldwell Parish Board of Review, et. </w:t>
      </w:r>
      <w:proofErr w:type="gramStart"/>
      <w:r w:rsidRPr="00FE71F3">
        <w:t>al</w:t>
      </w:r>
      <w:proofErr w:type="gramEnd"/>
      <w:r w:rsidRPr="00FE71F3">
        <w:t>.</w:t>
      </w:r>
      <w:r w:rsidRPr="00FE71F3">
        <w:t xml:space="preserve">, </w:t>
      </w:r>
      <w:r w:rsidRPr="00FE71F3">
        <w:t xml:space="preserve">B.T.A. Docket No. </w:t>
      </w:r>
      <w:r w:rsidR="00335D53" w:rsidRPr="00FE71F3">
        <w:t>L01814</w:t>
      </w:r>
      <w:r w:rsidRPr="00FE71F3">
        <w:t>, a</w:t>
      </w:r>
      <w:r w:rsidR="00335D53" w:rsidRPr="00FE71F3">
        <w:t>nd</w:t>
      </w:r>
      <w:r w:rsidRPr="00FE71F3">
        <w:t xml:space="preserve"> </w:t>
      </w:r>
      <w:r w:rsidRPr="00FE71F3">
        <w:t>Regency Intrastate Gas, LLC</w:t>
      </w:r>
      <w:r w:rsidRPr="00FE71F3">
        <w:t xml:space="preserve"> </w:t>
      </w:r>
      <w:r w:rsidRPr="00FE71F3">
        <w:t xml:space="preserve">v. Meredith, et. </w:t>
      </w:r>
      <w:proofErr w:type="gramStart"/>
      <w:r w:rsidRPr="00FE71F3">
        <w:t>al</w:t>
      </w:r>
      <w:proofErr w:type="gramEnd"/>
      <w:r w:rsidRPr="00FE71F3">
        <w:t>.,</w:t>
      </w:r>
      <w:r w:rsidRPr="00FE71F3">
        <w:t xml:space="preserve"> </w:t>
      </w:r>
      <w:r w:rsidRPr="00FE71F3">
        <w:t xml:space="preserve">B.T.A. Docket No. </w:t>
      </w:r>
      <w:r w:rsidR="00335D53" w:rsidRPr="00FE71F3">
        <w:t>L02447</w:t>
      </w:r>
    </w:p>
    <w:p w14:paraId="607C0FF3" w14:textId="7F86AA02" w:rsidR="00335D53" w:rsidRPr="00352B5A" w:rsidRDefault="00FE71F3" w:rsidP="00352B5A">
      <w:pPr>
        <w:pStyle w:val="Heading2"/>
      </w:pPr>
      <w:r w:rsidRPr="00352B5A">
        <w:t>Judgment with Reasons</w:t>
      </w:r>
    </w:p>
    <w:p w14:paraId="449C253F" w14:textId="48F1F113" w:rsidR="00335D53" w:rsidRPr="00FE71F3" w:rsidRDefault="00CE1839" w:rsidP="00FE71F3">
      <w:r w:rsidRPr="00FE71F3">
        <w:t xml:space="preserve">These consolidated matters came before the Board for oral argument on November 5, 2025, with </w:t>
      </w:r>
      <w:bookmarkStart w:id="0" w:name="_Hlk225339798"/>
      <w:r w:rsidR="00F26D20" w:rsidRPr="00FE71F3">
        <w:t>Local Tax Judge Ad Hoc</w:t>
      </w:r>
      <w:r w:rsidRPr="00FE71F3">
        <w:t xml:space="preserve"> Cade R. Cole</w:t>
      </w:r>
      <w:r w:rsidR="001A2999" w:rsidRPr="00FE71F3">
        <w:t xml:space="preserve"> presiding</w:t>
      </w:r>
      <w:r w:rsidR="004337D7" w:rsidRPr="00FE71F3">
        <w:t>.</w:t>
      </w:r>
      <w:r w:rsidR="00FE71F3">
        <w:rPr>
          <w:rStyle w:val="FootnoteReference"/>
        </w:rPr>
        <w:footnoteReference w:id="1"/>
      </w:r>
      <w:r w:rsidRPr="00FE71F3">
        <w:t xml:space="preserve"> </w:t>
      </w:r>
      <w:bookmarkEnd w:id="0"/>
      <w:r w:rsidRPr="00FE71F3">
        <w:t xml:space="preserve">Appearing before the Board were: Brian Eddington, attorney for Assessor Scott Meredith and </w:t>
      </w:r>
      <w:r w:rsidR="00AE384B" w:rsidRPr="00FE71F3">
        <w:t xml:space="preserve">the </w:t>
      </w:r>
      <w:r w:rsidRPr="00FE71F3">
        <w:t>Caldwell Parish Board of Review, Assessor Adron Henderson</w:t>
      </w:r>
      <w:r w:rsidR="00FE71F3">
        <w:rPr>
          <w:rStyle w:val="FootnoteReference"/>
        </w:rPr>
        <w:footnoteReference w:id="2"/>
      </w:r>
      <w:r w:rsidRPr="00FE71F3">
        <w:t xml:space="preserve"> and </w:t>
      </w:r>
      <w:r w:rsidR="00AE384B" w:rsidRPr="00FE71F3">
        <w:t xml:space="preserve">the </w:t>
      </w:r>
      <w:r w:rsidRPr="00FE71F3">
        <w:t xml:space="preserve">Franklin Parish Board of Review, and Assessor Glen Kirkland and </w:t>
      </w:r>
      <w:r w:rsidR="00AE384B" w:rsidRPr="00FE71F3">
        <w:t xml:space="preserve">the </w:t>
      </w:r>
      <w:r w:rsidRPr="00FE71F3">
        <w:t xml:space="preserve">Jackson Parish Board of Review (collectively, the </w:t>
      </w:r>
      <w:r w:rsidR="00DF5B0A" w:rsidRPr="00FE71F3">
        <w:t>“</w:t>
      </w:r>
      <w:r w:rsidRPr="00FE71F3">
        <w:t>Assessors</w:t>
      </w:r>
      <w:r w:rsidR="00DF5B0A" w:rsidRPr="00FE71F3">
        <w:t>”</w:t>
      </w:r>
      <w:r w:rsidRPr="00FE71F3">
        <w:t xml:space="preserve">); </w:t>
      </w:r>
      <w:r w:rsidR="00565A21" w:rsidRPr="00FE71F3">
        <w:t>Angela Adolph, attorney for Regency Intrastate Gas, LLC (</w:t>
      </w:r>
      <w:r w:rsidR="00DF5B0A" w:rsidRPr="00FE71F3">
        <w:t>“</w:t>
      </w:r>
      <w:r w:rsidR="00565A21" w:rsidRPr="00FE71F3">
        <w:t>RIG</w:t>
      </w:r>
      <w:r w:rsidR="00DF5B0A" w:rsidRPr="00FE71F3">
        <w:t>”</w:t>
      </w:r>
      <w:r w:rsidR="00565A21" w:rsidRPr="00FE71F3">
        <w:t>); and Drew Hoffman, attorney for the Louisiana Tax Commission (</w:t>
      </w:r>
      <w:r w:rsidR="00DF5B0A" w:rsidRPr="00FE71F3">
        <w:t>“</w:t>
      </w:r>
      <w:r w:rsidR="00565A21" w:rsidRPr="00FE71F3">
        <w:t>LTC</w:t>
      </w:r>
      <w:r w:rsidR="00DF5B0A" w:rsidRPr="00FE71F3">
        <w:t>”</w:t>
      </w:r>
      <w:r w:rsidR="00565A21" w:rsidRPr="00FE71F3">
        <w:t>)</w:t>
      </w:r>
      <w:r w:rsidR="00CA1B87" w:rsidRPr="00FE71F3">
        <w:t xml:space="preserve"> making only </w:t>
      </w:r>
      <w:r w:rsidR="00565A21" w:rsidRPr="00FE71F3">
        <w:t xml:space="preserve">a limited appearance after having been </w:t>
      </w:r>
      <w:r w:rsidR="00CA1B87" w:rsidRPr="00FE71F3">
        <w:t xml:space="preserve">dismissed from these consolidated matters by Order of the Board signed on August 8, 2023, and </w:t>
      </w:r>
      <w:r w:rsidR="00CA1B87" w:rsidRPr="00FE71F3">
        <w:lastRenderedPageBreak/>
        <w:t xml:space="preserve">having been </w:t>
      </w:r>
      <w:r w:rsidR="00565A21" w:rsidRPr="00FE71F3">
        <w:t>served with notice of the oral argument</w:t>
      </w:r>
      <w:r w:rsidR="00CA1B87" w:rsidRPr="00FE71F3">
        <w:t xml:space="preserve"> as required </w:t>
      </w:r>
      <w:r w:rsidR="00AE384B" w:rsidRPr="00FE71F3">
        <w:t>by La. R.S. 47:1998(I)</w:t>
      </w:r>
      <w:r w:rsidR="00565A21" w:rsidRPr="00FE71F3">
        <w:t xml:space="preserve">. After </w:t>
      </w:r>
      <w:r w:rsidR="00DF0F02" w:rsidRPr="00FE71F3">
        <w:t xml:space="preserve">hearing </w:t>
      </w:r>
      <w:r w:rsidR="00565A21" w:rsidRPr="00FE71F3">
        <w:t xml:space="preserve">argument from counsel, the Board took the matters under advisement. </w:t>
      </w:r>
      <w:r w:rsidR="00DF0F02" w:rsidRPr="00FE71F3">
        <w:t>In accordance with the attached Written Reasons for Judgment, t</w:t>
      </w:r>
      <w:r w:rsidR="00565A21" w:rsidRPr="00FE71F3">
        <w:t xml:space="preserve">he Board now renders Judgment </w:t>
      </w:r>
      <w:r w:rsidR="00DF0F02" w:rsidRPr="00FE71F3">
        <w:t>as follows</w:t>
      </w:r>
      <w:r w:rsidR="00565A21" w:rsidRPr="00FE71F3">
        <w:t>:</w:t>
      </w:r>
    </w:p>
    <w:p w14:paraId="5735D7DB" w14:textId="6B559D37" w:rsidR="00565A21" w:rsidRDefault="00C267D7" w:rsidP="00FE71F3">
      <w:r>
        <w:t xml:space="preserve">It is Ordered, Adjudged, and Decreed </w:t>
      </w:r>
      <w:r w:rsidR="00B50331">
        <w:t xml:space="preserve">that the LTC’s </w:t>
      </w:r>
      <w:r w:rsidR="00DF0F02">
        <w:t>July 12, 2023 Decision in LTC Docket Nos. 19-22021-001 and -002, 20-22021-001 and -002, and 21-22021-001 and -002 c/w LTC Docket Nos. 19-22041-001 through -004, 20-22041-001 through -004, and 21-22041-001 through -004 c/w LTC Docket Nos. 19-22049-001 through -004, 20-22049-001 through -004, and 21-22049-011 through -004 are</w:t>
      </w:r>
      <w:r w:rsidR="00B50331">
        <w:t xml:space="preserve"> </w:t>
      </w:r>
      <w:r>
        <w:t xml:space="preserve">Affirmed in part </w:t>
      </w:r>
      <w:r w:rsidR="00DF0F02">
        <w:t>with respect to the LTC’s determinations of the fair market</w:t>
      </w:r>
      <w:r w:rsidR="001A2999">
        <w:t xml:space="preserve"> value</w:t>
      </w:r>
      <w:r w:rsidR="0042211A">
        <w:t xml:space="preserve"> (“FMV”)</w:t>
      </w:r>
      <w:r w:rsidR="00DF0F02">
        <w:t xml:space="preserve"> of RIG’s Property for the 2019 tax year</w:t>
      </w:r>
      <w:r w:rsidR="00B50331">
        <w:t>.</w:t>
      </w:r>
    </w:p>
    <w:p w14:paraId="03BB11A4" w14:textId="5360D08A" w:rsidR="00DF0F02" w:rsidRDefault="00C267D7" w:rsidP="00FE71F3">
      <w:r>
        <w:t xml:space="preserve">It is further Ordered, Adjudged, and Decreed </w:t>
      </w:r>
      <w:r w:rsidR="00DF0F02">
        <w:t xml:space="preserve">that the LTC’s July 12, 2023 Decision in LTC Docket Nos. 19-22021-001 and -002, 20-22021-001 and -002, and 21-22021-001 and -002 c/w LTC Docket Nos. 19-22041-001 through -004, 20-22041-001 through -004, and 21-22041-001 through -004 c/w LTC Docket Nos. 19-22049-001 through -004, 20-22049-001 through -004, and 21-22049-011 through -004 are </w:t>
      </w:r>
      <w:r w:rsidR="009659A2">
        <w:t>O</w:t>
      </w:r>
      <w:r>
        <w:t>verruled</w:t>
      </w:r>
      <w:r w:rsidR="00DF0F02">
        <w:t xml:space="preserve"> </w:t>
      </w:r>
      <w:r>
        <w:t xml:space="preserve">in part </w:t>
      </w:r>
      <w:r w:rsidR="00DF0F02">
        <w:t>with respect to the LTC’s determinations of the fair market</w:t>
      </w:r>
      <w:r w:rsidR="0042211A">
        <w:t xml:space="preserve"> value</w:t>
      </w:r>
      <w:r w:rsidR="00DF0F02">
        <w:t xml:space="preserve"> of RIG’s Property for the </w:t>
      </w:r>
      <w:r w:rsidR="009659A2">
        <w:t xml:space="preserve">2020 and 2021 </w:t>
      </w:r>
      <w:r w:rsidR="00DF0F02">
        <w:t>tax year</w:t>
      </w:r>
      <w:r w:rsidR="009659A2">
        <w:t>s</w:t>
      </w:r>
      <w:r w:rsidR="00DF0F02">
        <w:t>.</w:t>
      </w:r>
    </w:p>
    <w:p w14:paraId="65F11DDA" w14:textId="0124775E" w:rsidR="009659A2" w:rsidRDefault="00C267D7" w:rsidP="00FE71F3">
      <w:r>
        <w:t xml:space="preserve">It is further Ordered, Adjudged, and Decreed </w:t>
      </w:r>
      <w:r w:rsidR="00EC0809">
        <w:t xml:space="preserve">that the LTC’s granting of the Assessors’ </w:t>
      </w:r>
      <w:r w:rsidR="00EC0809" w:rsidRPr="00DF0F02">
        <w:rPr>
          <w:i/>
          <w:iCs/>
        </w:rPr>
        <w:t xml:space="preserve">Motion in </w:t>
      </w:r>
      <w:proofErr w:type="spellStart"/>
      <w:r w:rsidR="00EC0809" w:rsidRPr="00DF0F02">
        <w:rPr>
          <w:i/>
          <w:iCs/>
        </w:rPr>
        <w:t>Limine</w:t>
      </w:r>
      <w:proofErr w:type="spellEnd"/>
      <w:r w:rsidR="00EC0809">
        <w:t xml:space="preserve"> </w:t>
      </w:r>
      <w:r w:rsidR="009659A2">
        <w:t xml:space="preserve">in LTC Docket Nos. 19-22021-001 and -002, 20-22021-001 and -002, and 21-22021-001 and -002 c/w LTC Docket Nos. 19-22041-001 through -004, 20-22041-001 through -004, and 21-22041-001 through -004 c/w LTC Docket Nos. 19-22049-001 through -004, 20-22049-001 through -004, and 21-22049-011 through -004 </w:t>
      </w:r>
      <w:r w:rsidR="00EC0809">
        <w:t>e</w:t>
      </w:r>
      <w:r w:rsidR="00EC0809" w:rsidRPr="00EC0809">
        <w:t>xcl</w:t>
      </w:r>
      <w:r w:rsidR="00EC0809">
        <w:t>uding</w:t>
      </w:r>
      <w:r w:rsidR="00EC0809" w:rsidRPr="00EC0809">
        <w:t xml:space="preserve"> Ms. Cartwright’s Appraisal and </w:t>
      </w:r>
      <w:r w:rsidR="00EC0809">
        <w:t>r</w:t>
      </w:r>
      <w:r w:rsidR="00EC0809" w:rsidRPr="00EC0809">
        <w:t xml:space="preserve">elated </w:t>
      </w:r>
      <w:r w:rsidR="00EC0809">
        <w:t>t</w:t>
      </w:r>
      <w:r w:rsidR="00EC0809" w:rsidRPr="00EC0809">
        <w:t>estimony</w:t>
      </w:r>
      <w:r w:rsidR="00EC0809">
        <w:t xml:space="preserve"> from consideration for the 2019 tax year is S</w:t>
      </w:r>
      <w:r>
        <w:t>ustained</w:t>
      </w:r>
      <w:r w:rsidR="00EC0809">
        <w:t>.</w:t>
      </w:r>
    </w:p>
    <w:p w14:paraId="7973DD39" w14:textId="75B06E1B" w:rsidR="009659A2" w:rsidRDefault="00C267D7" w:rsidP="00FE71F3">
      <w:r>
        <w:t xml:space="preserve">It is further Ordered, Adjudged, and Decreed </w:t>
      </w:r>
      <w:r w:rsidR="00B50331">
        <w:t xml:space="preserve">that the LTC’s </w:t>
      </w:r>
      <w:r w:rsidR="009659A2">
        <w:t xml:space="preserve">February 26, </w:t>
      </w:r>
      <w:proofErr w:type="gramStart"/>
      <w:r w:rsidR="009659A2">
        <w:t>2025</w:t>
      </w:r>
      <w:proofErr w:type="gramEnd"/>
      <w:r w:rsidR="009659A2">
        <w:t xml:space="preserve"> Decision in LTC Docket Nos. 22-22021-001 and -002, and 23-22021-001 and -002 -consolidated with- LTC Docket Nos. 22-22041-001 through -004, and 23-22041-001 through -004, -consolidated with- LTC Docket Nos. 22-22049-001 through -004, and 23-22049-001 through -004 is </w:t>
      </w:r>
      <w:r>
        <w:t>Overruled</w:t>
      </w:r>
      <w:r w:rsidR="009659A2">
        <w:t>.</w:t>
      </w:r>
    </w:p>
    <w:p w14:paraId="162C629C" w14:textId="59608E00" w:rsidR="00EC0809" w:rsidRDefault="00C267D7" w:rsidP="00FE71F3">
      <w:r>
        <w:lastRenderedPageBreak/>
        <w:t xml:space="preserve">It is further Ordered, Adjudged, and Decreed </w:t>
      </w:r>
      <w:r w:rsidR="00EC0809">
        <w:t xml:space="preserve">that the LTC’s granting of the Assessors’ </w:t>
      </w:r>
      <w:r w:rsidR="00EC0809" w:rsidRPr="00DF0F02">
        <w:rPr>
          <w:i/>
          <w:iCs/>
        </w:rPr>
        <w:t xml:space="preserve">Motion in </w:t>
      </w:r>
      <w:proofErr w:type="spellStart"/>
      <w:r w:rsidR="00EC0809" w:rsidRPr="00DF0F02">
        <w:rPr>
          <w:i/>
          <w:iCs/>
        </w:rPr>
        <w:t>Limine</w:t>
      </w:r>
      <w:proofErr w:type="spellEnd"/>
      <w:r w:rsidR="00EC0809">
        <w:t xml:space="preserve"> </w:t>
      </w:r>
      <w:r w:rsidR="009659A2">
        <w:t xml:space="preserve">in LTC Docket Nos. 22-22021-001 and -002, and 23-22021-001 and -002 -consolidated with- LTC Docket Nos. 22-22041-001 through -004, and 23-22041-001 through -004, -consolidated with- LTC Docket Nos. 22-22049-001 through -004, and 23-22049-001 through -004 </w:t>
      </w:r>
      <w:r w:rsidR="00EC0809">
        <w:t>e</w:t>
      </w:r>
      <w:r w:rsidR="00EC0809" w:rsidRPr="00EC0809">
        <w:t>xcl</w:t>
      </w:r>
      <w:r w:rsidR="00EC0809">
        <w:t>uding</w:t>
      </w:r>
      <w:r w:rsidR="00EC0809" w:rsidRPr="00EC0809">
        <w:t xml:space="preserve"> RIG’s Exhibits 6, 19, 28, and 29 </w:t>
      </w:r>
      <w:r w:rsidR="00EC0809">
        <w:t xml:space="preserve">from consideration for the 2022 and 2023 tax years is </w:t>
      </w:r>
      <w:r>
        <w:t>Sustained</w:t>
      </w:r>
      <w:r w:rsidR="00EC0809">
        <w:t>.</w:t>
      </w:r>
    </w:p>
    <w:p w14:paraId="2840522B" w14:textId="712EB651" w:rsidR="00B50331" w:rsidRDefault="00C267D7" w:rsidP="00FE71F3">
      <w:r>
        <w:t xml:space="preserve">It is further Ordered, Adjudged, and Decreed </w:t>
      </w:r>
      <w:r w:rsidR="00B50331">
        <w:t xml:space="preserve">that the Board </w:t>
      </w:r>
      <w:r w:rsidR="00CD3579">
        <w:t xml:space="preserve">determines </w:t>
      </w:r>
      <w:r w:rsidR="00B50331">
        <w:t xml:space="preserve">the FMV of RIG’s </w:t>
      </w:r>
      <w:r w:rsidR="0042211A">
        <w:t xml:space="preserve">Property </w:t>
      </w:r>
      <w:r w:rsidR="00EC0809">
        <w:t xml:space="preserve">for the 2019, 2020, 2021, 2022, and 2023 </w:t>
      </w:r>
      <w:r w:rsidR="00CD3579">
        <w:t xml:space="preserve">tax years </w:t>
      </w:r>
      <w:r w:rsidR="00EC0809">
        <w:t>to be as follows:</w:t>
      </w:r>
    </w:p>
    <w:p w14:paraId="10A81A30" w14:textId="0B1404E8" w:rsidR="00053434" w:rsidRDefault="00053434">
      <w:r>
        <w:t>Caldwell Parish</w:t>
      </w:r>
    </w:p>
    <w:tbl>
      <w:tblPr>
        <w:tblW w:w="5000" w:type="pct"/>
        <w:tblLook w:val="04A0" w:firstRow="1" w:lastRow="0" w:firstColumn="1" w:lastColumn="0" w:noHBand="0" w:noVBand="1"/>
      </w:tblPr>
      <w:tblGrid>
        <w:gridCol w:w="1435"/>
        <w:gridCol w:w="1620"/>
        <w:gridCol w:w="1531"/>
        <w:gridCol w:w="1619"/>
        <w:gridCol w:w="1595"/>
        <w:gridCol w:w="1550"/>
      </w:tblGrid>
      <w:tr w:rsidR="00053434" w:rsidRPr="00053434" w14:paraId="677C5FD2" w14:textId="77777777" w:rsidTr="008B1454">
        <w:trPr>
          <w:cantSplit/>
          <w:trHeight w:val="432"/>
        </w:trPr>
        <w:tc>
          <w:tcPr>
            <w:tcW w:w="767" w:type="pct"/>
            <w:tcBorders>
              <w:top w:val="nil"/>
              <w:left w:val="single" w:sz="4" w:space="0" w:color="auto"/>
              <w:bottom w:val="nil"/>
              <w:right w:val="nil"/>
            </w:tcBorders>
          </w:tcPr>
          <w:p w14:paraId="532A56F4" w14:textId="6066424E" w:rsidR="00053434" w:rsidRPr="00053434" w:rsidRDefault="00053434" w:rsidP="005B2CD6">
            <w:pPr>
              <w:spacing w:before="240"/>
              <w:ind w:firstLine="0"/>
              <w:rPr>
                <w:rFonts w:ascii="Calibri" w:hAnsi="Calibri" w:cs="Calibri"/>
                <w:b/>
                <w:bCs/>
                <w:sz w:val="24"/>
                <w:szCs w:val="24"/>
              </w:rPr>
            </w:pPr>
            <w:r w:rsidRPr="00053434">
              <w:rPr>
                <w:rFonts w:ascii="Calibri" w:hAnsi="Calibri" w:cs="Calibri"/>
                <w:b/>
                <w:bCs/>
                <w:sz w:val="24"/>
                <w:szCs w:val="24"/>
              </w:rPr>
              <w:t>Assessment</w:t>
            </w:r>
          </w:p>
        </w:tc>
        <w:tc>
          <w:tcPr>
            <w:tcW w:w="866" w:type="pct"/>
            <w:tcBorders>
              <w:top w:val="nil"/>
              <w:left w:val="single" w:sz="4" w:space="0" w:color="auto"/>
              <w:bottom w:val="nil"/>
              <w:right w:val="nil"/>
            </w:tcBorders>
            <w:noWrap/>
          </w:tcPr>
          <w:p w14:paraId="1A56AC87" w14:textId="46A84282" w:rsidR="00053434" w:rsidRPr="00053434" w:rsidRDefault="00053434" w:rsidP="005B2CD6">
            <w:pPr>
              <w:spacing w:before="240"/>
              <w:ind w:firstLine="0"/>
              <w:rPr>
                <w:rFonts w:ascii="Calibri" w:hAnsi="Calibri" w:cs="Calibri"/>
                <w:b/>
                <w:bCs/>
                <w:sz w:val="24"/>
                <w:szCs w:val="24"/>
              </w:rPr>
            </w:pPr>
            <w:r w:rsidRPr="00053434">
              <w:rPr>
                <w:rFonts w:ascii="Calibri" w:hAnsi="Calibri" w:cs="Calibri"/>
                <w:b/>
                <w:bCs/>
                <w:sz w:val="24"/>
                <w:szCs w:val="24"/>
              </w:rPr>
              <w:t>2019</w:t>
            </w:r>
          </w:p>
        </w:tc>
        <w:tc>
          <w:tcPr>
            <w:tcW w:w="818" w:type="pct"/>
            <w:tcBorders>
              <w:top w:val="nil"/>
              <w:left w:val="nil"/>
              <w:bottom w:val="nil"/>
              <w:right w:val="nil"/>
            </w:tcBorders>
            <w:noWrap/>
          </w:tcPr>
          <w:p w14:paraId="0A258160" w14:textId="400C47F3" w:rsidR="00053434" w:rsidRPr="00053434" w:rsidRDefault="00053434" w:rsidP="005B2CD6">
            <w:pPr>
              <w:spacing w:before="240"/>
              <w:ind w:firstLine="0"/>
              <w:rPr>
                <w:rFonts w:ascii="Calibri" w:hAnsi="Calibri" w:cs="Calibri"/>
                <w:b/>
                <w:bCs/>
                <w:sz w:val="24"/>
                <w:szCs w:val="24"/>
              </w:rPr>
            </w:pPr>
            <w:r w:rsidRPr="00053434">
              <w:rPr>
                <w:rFonts w:ascii="Calibri" w:hAnsi="Calibri" w:cs="Calibri"/>
                <w:b/>
                <w:bCs/>
                <w:sz w:val="24"/>
                <w:szCs w:val="24"/>
              </w:rPr>
              <w:t>2020</w:t>
            </w:r>
          </w:p>
        </w:tc>
        <w:tc>
          <w:tcPr>
            <w:tcW w:w="866" w:type="pct"/>
            <w:tcBorders>
              <w:top w:val="nil"/>
              <w:left w:val="nil"/>
              <w:bottom w:val="nil"/>
              <w:right w:val="nil"/>
            </w:tcBorders>
            <w:noWrap/>
          </w:tcPr>
          <w:p w14:paraId="5BE0FA8B" w14:textId="3230FD22" w:rsidR="00053434" w:rsidRPr="00053434" w:rsidRDefault="00053434" w:rsidP="005B2CD6">
            <w:pPr>
              <w:spacing w:before="240"/>
              <w:ind w:firstLine="0"/>
              <w:rPr>
                <w:rFonts w:ascii="Calibri" w:hAnsi="Calibri" w:cs="Calibri"/>
                <w:b/>
                <w:bCs/>
                <w:sz w:val="24"/>
                <w:szCs w:val="24"/>
              </w:rPr>
            </w:pPr>
            <w:r w:rsidRPr="00053434">
              <w:rPr>
                <w:rFonts w:ascii="Calibri" w:hAnsi="Calibri" w:cs="Calibri"/>
                <w:b/>
                <w:bCs/>
                <w:sz w:val="24"/>
                <w:szCs w:val="24"/>
              </w:rPr>
              <w:t>2021</w:t>
            </w:r>
          </w:p>
        </w:tc>
        <w:tc>
          <w:tcPr>
            <w:tcW w:w="853" w:type="pct"/>
            <w:tcBorders>
              <w:top w:val="nil"/>
              <w:left w:val="nil"/>
              <w:bottom w:val="nil"/>
              <w:right w:val="nil"/>
            </w:tcBorders>
            <w:noWrap/>
          </w:tcPr>
          <w:p w14:paraId="60F888F3" w14:textId="1C6BE29C" w:rsidR="00053434" w:rsidRPr="00053434" w:rsidRDefault="00053434" w:rsidP="005B2CD6">
            <w:pPr>
              <w:spacing w:before="240"/>
              <w:ind w:firstLine="0"/>
              <w:rPr>
                <w:rFonts w:ascii="Calibri" w:hAnsi="Calibri" w:cs="Calibri"/>
                <w:b/>
                <w:bCs/>
                <w:sz w:val="24"/>
                <w:szCs w:val="24"/>
              </w:rPr>
            </w:pPr>
            <w:r w:rsidRPr="00053434">
              <w:rPr>
                <w:rFonts w:ascii="Calibri" w:hAnsi="Calibri" w:cs="Calibri"/>
                <w:b/>
                <w:bCs/>
                <w:sz w:val="24"/>
                <w:szCs w:val="24"/>
              </w:rPr>
              <w:t>2022</w:t>
            </w:r>
          </w:p>
        </w:tc>
        <w:tc>
          <w:tcPr>
            <w:tcW w:w="829" w:type="pct"/>
            <w:tcBorders>
              <w:top w:val="nil"/>
              <w:left w:val="nil"/>
              <w:bottom w:val="nil"/>
              <w:right w:val="single" w:sz="4" w:space="0" w:color="auto"/>
            </w:tcBorders>
            <w:noWrap/>
          </w:tcPr>
          <w:p w14:paraId="39AAC60B" w14:textId="71E14BAB" w:rsidR="00053434" w:rsidRPr="00053434" w:rsidRDefault="00053434" w:rsidP="005B2CD6">
            <w:pPr>
              <w:spacing w:before="240"/>
              <w:ind w:firstLine="0"/>
              <w:rPr>
                <w:rFonts w:ascii="Calibri" w:hAnsi="Calibri" w:cs="Calibri"/>
                <w:b/>
                <w:bCs/>
                <w:sz w:val="24"/>
                <w:szCs w:val="24"/>
              </w:rPr>
            </w:pPr>
            <w:r w:rsidRPr="00053434">
              <w:rPr>
                <w:rFonts w:ascii="Calibri" w:hAnsi="Calibri" w:cs="Calibri"/>
                <w:b/>
                <w:bCs/>
                <w:sz w:val="24"/>
                <w:szCs w:val="24"/>
              </w:rPr>
              <w:t>2023</w:t>
            </w:r>
          </w:p>
        </w:tc>
      </w:tr>
      <w:tr w:rsidR="00053434" w:rsidRPr="00053434" w14:paraId="032C2069" w14:textId="77777777" w:rsidTr="008B1454">
        <w:trPr>
          <w:cantSplit/>
          <w:trHeight w:val="431"/>
        </w:trPr>
        <w:tc>
          <w:tcPr>
            <w:tcW w:w="767" w:type="pct"/>
            <w:tcBorders>
              <w:top w:val="single" w:sz="4" w:space="0" w:color="auto"/>
              <w:left w:val="single" w:sz="4" w:space="0" w:color="auto"/>
              <w:bottom w:val="single" w:sz="4" w:space="0" w:color="auto"/>
              <w:right w:val="single" w:sz="4" w:space="0" w:color="auto"/>
            </w:tcBorders>
          </w:tcPr>
          <w:p w14:paraId="6434DB28" w14:textId="07A45FE6" w:rsidR="00053434" w:rsidRPr="006A506D" w:rsidRDefault="00053434" w:rsidP="005B2CD6">
            <w:pPr>
              <w:spacing w:before="240"/>
              <w:ind w:firstLine="0"/>
              <w:rPr>
                <w:rFonts w:ascii="Calibri" w:hAnsi="Calibri" w:cs="Calibri"/>
                <w:b/>
                <w:bCs/>
                <w:sz w:val="24"/>
                <w:szCs w:val="24"/>
              </w:rPr>
            </w:pPr>
            <w:r w:rsidRPr="006A506D">
              <w:rPr>
                <w:rFonts w:ascii="Calibri" w:hAnsi="Calibri" w:cs="Calibri"/>
                <w:b/>
                <w:bCs/>
                <w:sz w:val="24"/>
                <w:szCs w:val="24"/>
              </w:rPr>
              <w:t>1010001570</w:t>
            </w:r>
          </w:p>
        </w:tc>
        <w:tc>
          <w:tcPr>
            <w:tcW w:w="866" w:type="pct"/>
            <w:tcBorders>
              <w:top w:val="single" w:sz="4" w:space="0" w:color="auto"/>
              <w:left w:val="single" w:sz="4" w:space="0" w:color="auto"/>
              <w:bottom w:val="single" w:sz="4" w:space="0" w:color="auto"/>
              <w:right w:val="single" w:sz="4" w:space="0" w:color="auto"/>
            </w:tcBorders>
            <w:noWrap/>
            <w:hideMark/>
          </w:tcPr>
          <w:p w14:paraId="50488EF4" w14:textId="09B0F1B1"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$30,052,373</w:t>
            </w:r>
          </w:p>
        </w:tc>
        <w:tc>
          <w:tcPr>
            <w:tcW w:w="818" w:type="pct"/>
            <w:tcBorders>
              <w:top w:val="single" w:sz="4" w:space="0" w:color="auto"/>
              <w:left w:val="nil"/>
              <w:bottom w:val="single" w:sz="4" w:space="0" w:color="auto"/>
              <w:right w:val="single" w:sz="4" w:space="0" w:color="auto"/>
            </w:tcBorders>
            <w:noWrap/>
            <w:hideMark/>
          </w:tcPr>
          <w:p w14:paraId="0AA10AE6" w14:textId="77777777"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$27,632,791</w:t>
            </w:r>
          </w:p>
        </w:tc>
        <w:tc>
          <w:tcPr>
            <w:tcW w:w="866" w:type="pct"/>
            <w:tcBorders>
              <w:top w:val="single" w:sz="4" w:space="0" w:color="auto"/>
              <w:left w:val="nil"/>
              <w:bottom w:val="single" w:sz="4" w:space="0" w:color="auto"/>
              <w:right w:val="single" w:sz="4" w:space="0" w:color="auto"/>
            </w:tcBorders>
            <w:noWrap/>
            <w:hideMark/>
          </w:tcPr>
          <w:p w14:paraId="5F2BCE61" w14:textId="77777777"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$27,632,786</w:t>
            </w:r>
          </w:p>
        </w:tc>
        <w:tc>
          <w:tcPr>
            <w:tcW w:w="853" w:type="pct"/>
            <w:tcBorders>
              <w:top w:val="single" w:sz="4" w:space="0" w:color="auto"/>
              <w:left w:val="nil"/>
              <w:bottom w:val="single" w:sz="4" w:space="0" w:color="auto"/>
              <w:right w:val="single" w:sz="4" w:space="0" w:color="auto"/>
            </w:tcBorders>
            <w:noWrap/>
            <w:hideMark/>
          </w:tcPr>
          <w:p w14:paraId="2E993B40" w14:textId="77777777"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$25,106,866</w:t>
            </w:r>
          </w:p>
        </w:tc>
        <w:tc>
          <w:tcPr>
            <w:tcW w:w="829" w:type="pct"/>
            <w:tcBorders>
              <w:top w:val="single" w:sz="4" w:space="0" w:color="auto"/>
              <w:left w:val="nil"/>
              <w:bottom w:val="single" w:sz="4" w:space="0" w:color="auto"/>
              <w:right w:val="single" w:sz="4" w:space="0" w:color="auto"/>
            </w:tcBorders>
            <w:noWrap/>
            <w:hideMark/>
          </w:tcPr>
          <w:p w14:paraId="4782E230" w14:textId="77777777"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$23,178,746</w:t>
            </w:r>
          </w:p>
        </w:tc>
      </w:tr>
      <w:tr w:rsidR="006A506D" w:rsidRPr="00053434" w14:paraId="03857912" w14:textId="77777777" w:rsidTr="008B1454">
        <w:trPr>
          <w:cantSplit/>
          <w:trHeight w:val="440"/>
        </w:trPr>
        <w:tc>
          <w:tcPr>
            <w:tcW w:w="767" w:type="pct"/>
            <w:tcBorders>
              <w:top w:val="single" w:sz="4" w:space="0" w:color="auto"/>
              <w:left w:val="single" w:sz="4" w:space="0" w:color="auto"/>
              <w:bottom w:val="single" w:sz="4" w:space="0" w:color="auto"/>
              <w:right w:val="single" w:sz="4" w:space="0" w:color="auto"/>
            </w:tcBorders>
          </w:tcPr>
          <w:p w14:paraId="3DD88CB2" w14:textId="400B79A5" w:rsidR="00053434" w:rsidRPr="006A506D" w:rsidRDefault="00053434" w:rsidP="005B2CD6">
            <w:pPr>
              <w:spacing w:before="240"/>
              <w:ind w:firstLine="0"/>
              <w:rPr>
                <w:rFonts w:ascii="Calibri" w:hAnsi="Calibri" w:cs="Calibri"/>
                <w:b/>
                <w:bCs/>
                <w:sz w:val="24"/>
                <w:szCs w:val="24"/>
              </w:rPr>
            </w:pPr>
            <w:r w:rsidRPr="006A506D">
              <w:rPr>
                <w:rFonts w:ascii="Calibri" w:hAnsi="Calibri" w:cs="Calibri"/>
                <w:b/>
                <w:bCs/>
                <w:sz w:val="24"/>
                <w:szCs w:val="24"/>
              </w:rPr>
              <w:t>1050001430</w:t>
            </w:r>
          </w:p>
        </w:tc>
        <w:tc>
          <w:tcPr>
            <w:tcW w:w="866" w:type="pct"/>
            <w:tcBorders>
              <w:top w:val="single" w:sz="4" w:space="0" w:color="auto"/>
              <w:left w:val="single" w:sz="4" w:space="0" w:color="auto"/>
              <w:bottom w:val="single" w:sz="4" w:space="0" w:color="auto"/>
              <w:right w:val="single" w:sz="4" w:space="0" w:color="auto"/>
            </w:tcBorders>
            <w:noWrap/>
            <w:hideMark/>
          </w:tcPr>
          <w:p w14:paraId="27651163" w14:textId="326A94BB"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$100,994,680</w:t>
            </w:r>
          </w:p>
        </w:tc>
        <w:tc>
          <w:tcPr>
            <w:tcW w:w="818" w:type="pct"/>
            <w:tcBorders>
              <w:top w:val="single" w:sz="4" w:space="0" w:color="auto"/>
              <w:left w:val="nil"/>
              <w:bottom w:val="single" w:sz="4" w:space="0" w:color="auto"/>
              <w:right w:val="single" w:sz="4" w:space="0" w:color="auto"/>
            </w:tcBorders>
            <w:noWrap/>
            <w:hideMark/>
          </w:tcPr>
          <w:p w14:paraId="6B58DAA1" w14:textId="77777777"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$95,425,606</w:t>
            </w:r>
          </w:p>
        </w:tc>
        <w:tc>
          <w:tcPr>
            <w:tcW w:w="866" w:type="pct"/>
            <w:tcBorders>
              <w:top w:val="single" w:sz="4" w:space="0" w:color="auto"/>
              <w:left w:val="nil"/>
              <w:bottom w:val="single" w:sz="4" w:space="0" w:color="auto"/>
              <w:right w:val="single" w:sz="4" w:space="0" w:color="auto"/>
            </w:tcBorders>
            <w:noWrap/>
            <w:hideMark/>
          </w:tcPr>
          <w:p w14:paraId="4AC84042" w14:textId="77777777"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$95,425,606</w:t>
            </w:r>
          </w:p>
        </w:tc>
        <w:tc>
          <w:tcPr>
            <w:tcW w:w="853" w:type="pct"/>
            <w:tcBorders>
              <w:top w:val="single" w:sz="4" w:space="0" w:color="auto"/>
              <w:left w:val="nil"/>
              <w:bottom w:val="single" w:sz="4" w:space="0" w:color="auto"/>
              <w:right w:val="single" w:sz="4" w:space="0" w:color="auto"/>
            </w:tcBorders>
            <w:noWrap/>
            <w:hideMark/>
          </w:tcPr>
          <w:p w14:paraId="7F5601DC" w14:textId="77777777"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$92,826,660</w:t>
            </w:r>
          </w:p>
        </w:tc>
        <w:tc>
          <w:tcPr>
            <w:tcW w:w="829" w:type="pct"/>
            <w:tcBorders>
              <w:top w:val="single" w:sz="4" w:space="0" w:color="auto"/>
              <w:left w:val="nil"/>
              <w:bottom w:val="single" w:sz="4" w:space="0" w:color="auto"/>
              <w:right w:val="single" w:sz="4" w:space="0" w:color="auto"/>
            </w:tcBorders>
            <w:noWrap/>
            <w:hideMark/>
          </w:tcPr>
          <w:p w14:paraId="2192459E" w14:textId="77777777" w:rsidR="00053434" w:rsidRPr="00053434" w:rsidRDefault="00053434" w:rsidP="005B2CD6">
            <w:pPr>
              <w:spacing w:before="240"/>
              <w:ind w:firstLine="0"/>
              <w:rPr>
                <w:rFonts w:ascii="Calibri" w:hAnsi="Calibri" w:cs="Calibri"/>
                <w:sz w:val="24"/>
                <w:szCs w:val="24"/>
              </w:rPr>
            </w:pPr>
            <w:r w:rsidRPr="00053434">
              <w:rPr>
                <w:rFonts w:ascii="Calibri" w:hAnsi="Calibri" w:cs="Calibri"/>
                <w:sz w:val="24"/>
                <w:szCs w:val="24"/>
              </w:rPr>
              <w:t>$98,925,336</w:t>
            </w:r>
          </w:p>
        </w:tc>
      </w:tr>
    </w:tbl>
    <w:p w14:paraId="43E8FF23" w14:textId="77777777" w:rsidR="005B2CD6" w:rsidRDefault="005B2CD6" w:rsidP="006A506D">
      <w:pPr>
        <w:spacing w:before="240" w:after="0"/>
      </w:pPr>
      <w:r>
        <w:br w:type="page"/>
      </w:r>
    </w:p>
    <w:p w14:paraId="46F885D9" w14:textId="198CA6D5" w:rsidR="006A506D" w:rsidRDefault="006A506D" w:rsidP="006A506D">
      <w:pPr>
        <w:spacing w:before="240" w:after="0"/>
      </w:pPr>
      <w:r>
        <w:t>Franklin Parish</w:t>
      </w:r>
    </w:p>
    <w:tbl>
      <w:tblPr>
        <w:tblW w:w="5000" w:type="pct"/>
        <w:tblLook w:val="0480" w:firstRow="0" w:lastRow="0" w:firstColumn="1" w:lastColumn="0" w:noHBand="0" w:noVBand="1"/>
      </w:tblPr>
      <w:tblGrid>
        <w:gridCol w:w="1433"/>
        <w:gridCol w:w="1583"/>
        <w:gridCol w:w="1584"/>
        <w:gridCol w:w="1584"/>
        <w:gridCol w:w="1584"/>
        <w:gridCol w:w="1582"/>
      </w:tblGrid>
      <w:tr w:rsidR="006A506D" w:rsidRPr="006A506D" w14:paraId="71078AD4" w14:textId="77777777" w:rsidTr="008B1454">
        <w:trPr>
          <w:cantSplit/>
          <w:trHeight w:val="378"/>
        </w:trPr>
        <w:tc>
          <w:tcPr>
            <w:tcW w:w="766" w:type="pct"/>
            <w:tcBorders>
              <w:top w:val="nil"/>
              <w:left w:val="single" w:sz="4" w:space="0" w:color="auto"/>
              <w:bottom w:val="nil"/>
              <w:right w:val="nil"/>
            </w:tcBorders>
          </w:tcPr>
          <w:p w14:paraId="3ACAFECF" w14:textId="62EFC33D"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Assessment</w:t>
            </w:r>
          </w:p>
        </w:tc>
        <w:tc>
          <w:tcPr>
            <w:tcW w:w="847" w:type="pct"/>
            <w:tcBorders>
              <w:top w:val="nil"/>
              <w:left w:val="single" w:sz="4" w:space="0" w:color="auto"/>
              <w:bottom w:val="nil"/>
              <w:right w:val="nil"/>
            </w:tcBorders>
            <w:noWrap/>
            <w:hideMark/>
          </w:tcPr>
          <w:p w14:paraId="3A9204B5" w14:textId="562A960B"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2019</w:t>
            </w:r>
          </w:p>
        </w:tc>
        <w:tc>
          <w:tcPr>
            <w:tcW w:w="847" w:type="pct"/>
            <w:tcBorders>
              <w:top w:val="nil"/>
              <w:left w:val="nil"/>
              <w:bottom w:val="nil"/>
              <w:right w:val="nil"/>
            </w:tcBorders>
            <w:noWrap/>
            <w:hideMark/>
          </w:tcPr>
          <w:p w14:paraId="0ECB7996" w14:textId="77777777"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2020</w:t>
            </w:r>
          </w:p>
        </w:tc>
        <w:tc>
          <w:tcPr>
            <w:tcW w:w="847" w:type="pct"/>
            <w:tcBorders>
              <w:top w:val="nil"/>
              <w:left w:val="nil"/>
              <w:bottom w:val="nil"/>
              <w:right w:val="nil"/>
            </w:tcBorders>
            <w:noWrap/>
            <w:hideMark/>
          </w:tcPr>
          <w:p w14:paraId="2F041D33" w14:textId="77777777"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2021</w:t>
            </w:r>
          </w:p>
        </w:tc>
        <w:tc>
          <w:tcPr>
            <w:tcW w:w="847" w:type="pct"/>
            <w:tcBorders>
              <w:top w:val="nil"/>
              <w:left w:val="nil"/>
              <w:bottom w:val="nil"/>
              <w:right w:val="nil"/>
            </w:tcBorders>
            <w:noWrap/>
            <w:hideMark/>
          </w:tcPr>
          <w:p w14:paraId="4BE0FFB9" w14:textId="77777777"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2022</w:t>
            </w:r>
          </w:p>
        </w:tc>
        <w:tc>
          <w:tcPr>
            <w:tcW w:w="846" w:type="pct"/>
            <w:tcBorders>
              <w:top w:val="nil"/>
              <w:left w:val="nil"/>
              <w:bottom w:val="nil"/>
              <w:right w:val="single" w:sz="4" w:space="0" w:color="auto"/>
            </w:tcBorders>
            <w:noWrap/>
            <w:hideMark/>
          </w:tcPr>
          <w:p w14:paraId="11BF4004" w14:textId="77777777"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2023</w:t>
            </w:r>
          </w:p>
        </w:tc>
      </w:tr>
      <w:tr w:rsidR="006A506D" w:rsidRPr="006A506D" w14:paraId="6421CAE5" w14:textId="77777777" w:rsidTr="008B1454">
        <w:trPr>
          <w:cantSplit/>
          <w:trHeight w:val="431"/>
        </w:trPr>
        <w:tc>
          <w:tcPr>
            <w:tcW w:w="766" w:type="pct"/>
            <w:tcBorders>
              <w:top w:val="single" w:sz="4" w:space="0" w:color="auto"/>
              <w:left w:val="single" w:sz="4" w:space="0" w:color="auto"/>
              <w:bottom w:val="single" w:sz="4" w:space="0" w:color="auto"/>
              <w:right w:val="single" w:sz="4" w:space="0" w:color="auto"/>
            </w:tcBorders>
          </w:tcPr>
          <w:p w14:paraId="06DA387B" w14:textId="3CBCA6E5"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1800004801</w:t>
            </w:r>
          </w:p>
        </w:tc>
        <w:tc>
          <w:tcPr>
            <w:tcW w:w="847" w:type="pct"/>
            <w:tcBorders>
              <w:top w:val="single" w:sz="4" w:space="0" w:color="auto"/>
              <w:left w:val="single" w:sz="4" w:space="0" w:color="auto"/>
              <w:bottom w:val="single" w:sz="4" w:space="0" w:color="auto"/>
              <w:right w:val="single" w:sz="4" w:space="0" w:color="auto"/>
            </w:tcBorders>
            <w:noWrap/>
            <w:hideMark/>
          </w:tcPr>
          <w:p w14:paraId="63AC54F3" w14:textId="189E2ABC"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$22,701,479</w:t>
            </w:r>
          </w:p>
        </w:tc>
        <w:tc>
          <w:tcPr>
            <w:tcW w:w="847" w:type="pct"/>
            <w:tcBorders>
              <w:top w:val="single" w:sz="4" w:space="0" w:color="auto"/>
              <w:left w:val="nil"/>
              <w:bottom w:val="single" w:sz="4" w:space="0" w:color="auto"/>
              <w:right w:val="single" w:sz="4" w:space="0" w:color="auto"/>
            </w:tcBorders>
            <w:noWrap/>
            <w:hideMark/>
          </w:tcPr>
          <w:p w14:paraId="6543E64F"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$22,334,933</w:t>
            </w:r>
          </w:p>
        </w:tc>
        <w:tc>
          <w:tcPr>
            <w:tcW w:w="847" w:type="pct"/>
            <w:tcBorders>
              <w:top w:val="single" w:sz="4" w:space="0" w:color="auto"/>
              <w:left w:val="nil"/>
              <w:bottom w:val="single" w:sz="4" w:space="0" w:color="auto"/>
              <w:right w:val="single" w:sz="4" w:space="0" w:color="auto"/>
            </w:tcBorders>
            <w:noWrap/>
            <w:hideMark/>
          </w:tcPr>
          <w:p w14:paraId="78E76473"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$21,878,766</w:t>
            </w:r>
          </w:p>
        </w:tc>
        <w:tc>
          <w:tcPr>
            <w:tcW w:w="847" w:type="pct"/>
            <w:tcBorders>
              <w:top w:val="single" w:sz="4" w:space="0" w:color="auto"/>
              <w:left w:val="nil"/>
              <w:bottom w:val="single" w:sz="4" w:space="0" w:color="auto"/>
              <w:right w:val="single" w:sz="4" w:space="0" w:color="auto"/>
            </w:tcBorders>
            <w:noWrap/>
            <w:hideMark/>
          </w:tcPr>
          <w:p w14:paraId="6005845D"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$21,317,213</w:t>
            </w:r>
          </w:p>
        </w:tc>
        <w:tc>
          <w:tcPr>
            <w:tcW w:w="846" w:type="pct"/>
            <w:tcBorders>
              <w:top w:val="single" w:sz="4" w:space="0" w:color="auto"/>
              <w:left w:val="nil"/>
              <w:bottom w:val="single" w:sz="4" w:space="0" w:color="auto"/>
              <w:right w:val="single" w:sz="4" w:space="0" w:color="auto"/>
            </w:tcBorders>
            <w:noWrap/>
            <w:hideMark/>
          </w:tcPr>
          <w:p w14:paraId="4EB3D5E6"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$22,821,788</w:t>
            </w:r>
          </w:p>
        </w:tc>
      </w:tr>
      <w:tr w:rsidR="006A506D" w:rsidRPr="006A506D" w14:paraId="19BE6E3A" w14:textId="77777777" w:rsidTr="008B1454">
        <w:trPr>
          <w:cantSplit/>
          <w:trHeight w:val="440"/>
        </w:trPr>
        <w:tc>
          <w:tcPr>
            <w:tcW w:w="766" w:type="pct"/>
            <w:tcBorders>
              <w:top w:val="single" w:sz="4" w:space="0" w:color="auto"/>
              <w:left w:val="single" w:sz="4" w:space="0" w:color="auto"/>
              <w:bottom w:val="single" w:sz="4" w:space="0" w:color="auto"/>
              <w:right w:val="single" w:sz="4" w:space="0" w:color="auto"/>
            </w:tcBorders>
          </w:tcPr>
          <w:p w14:paraId="59AAF5DC" w14:textId="304EAEA8"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1800004800</w:t>
            </w:r>
          </w:p>
        </w:tc>
        <w:tc>
          <w:tcPr>
            <w:tcW w:w="847" w:type="pct"/>
            <w:tcBorders>
              <w:top w:val="single" w:sz="4" w:space="0" w:color="auto"/>
              <w:left w:val="single" w:sz="4" w:space="0" w:color="auto"/>
              <w:bottom w:val="single" w:sz="4" w:space="0" w:color="auto"/>
              <w:right w:val="single" w:sz="4" w:space="0" w:color="auto"/>
            </w:tcBorders>
            <w:noWrap/>
            <w:hideMark/>
          </w:tcPr>
          <w:p w14:paraId="4AEC5953" w14:textId="2ACEC6BC"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$6,645,132</w:t>
            </w:r>
          </w:p>
        </w:tc>
        <w:tc>
          <w:tcPr>
            <w:tcW w:w="847" w:type="pct"/>
            <w:tcBorders>
              <w:top w:val="single" w:sz="4" w:space="0" w:color="auto"/>
              <w:left w:val="nil"/>
              <w:bottom w:val="single" w:sz="4" w:space="0" w:color="auto"/>
              <w:right w:val="single" w:sz="4" w:space="0" w:color="auto"/>
            </w:tcBorders>
            <w:noWrap/>
            <w:hideMark/>
          </w:tcPr>
          <w:p w14:paraId="682B9852"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$6,355,000</w:t>
            </w:r>
          </w:p>
        </w:tc>
        <w:tc>
          <w:tcPr>
            <w:tcW w:w="847" w:type="pct"/>
            <w:tcBorders>
              <w:top w:val="single" w:sz="4" w:space="0" w:color="auto"/>
              <w:left w:val="nil"/>
              <w:bottom w:val="single" w:sz="4" w:space="0" w:color="auto"/>
              <w:right w:val="single" w:sz="4" w:space="0" w:color="auto"/>
            </w:tcBorders>
            <w:noWrap/>
            <w:hideMark/>
          </w:tcPr>
          <w:p w14:paraId="6B7F7374"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$5,992,241</w:t>
            </w:r>
          </w:p>
        </w:tc>
        <w:tc>
          <w:tcPr>
            <w:tcW w:w="847" w:type="pct"/>
            <w:tcBorders>
              <w:top w:val="single" w:sz="4" w:space="0" w:color="auto"/>
              <w:left w:val="nil"/>
              <w:bottom w:val="single" w:sz="4" w:space="0" w:color="auto"/>
              <w:right w:val="single" w:sz="4" w:space="0" w:color="auto"/>
            </w:tcBorders>
            <w:noWrap/>
            <w:hideMark/>
          </w:tcPr>
          <w:p w14:paraId="137D180A"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$5,630,627</w:t>
            </w:r>
          </w:p>
        </w:tc>
        <w:tc>
          <w:tcPr>
            <w:tcW w:w="846" w:type="pct"/>
            <w:tcBorders>
              <w:top w:val="single" w:sz="4" w:space="0" w:color="auto"/>
              <w:left w:val="nil"/>
              <w:bottom w:val="single" w:sz="4" w:space="0" w:color="auto"/>
              <w:right w:val="single" w:sz="4" w:space="0" w:color="auto"/>
            </w:tcBorders>
            <w:noWrap/>
            <w:hideMark/>
          </w:tcPr>
          <w:p w14:paraId="410FE484"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$5,890,685</w:t>
            </w:r>
          </w:p>
        </w:tc>
      </w:tr>
      <w:tr w:rsidR="006A506D" w:rsidRPr="006A506D" w14:paraId="213E0383" w14:textId="77777777" w:rsidTr="008B1454">
        <w:trPr>
          <w:cantSplit/>
          <w:trHeight w:val="449"/>
        </w:trPr>
        <w:tc>
          <w:tcPr>
            <w:tcW w:w="766" w:type="pct"/>
            <w:tcBorders>
              <w:top w:val="single" w:sz="4" w:space="0" w:color="auto"/>
              <w:left w:val="single" w:sz="4" w:space="0" w:color="auto"/>
              <w:bottom w:val="single" w:sz="4" w:space="0" w:color="auto"/>
              <w:right w:val="single" w:sz="4" w:space="0" w:color="auto"/>
            </w:tcBorders>
          </w:tcPr>
          <w:p w14:paraId="5E0F7BC9" w14:textId="2E6786D5"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1700024700</w:t>
            </w:r>
          </w:p>
        </w:tc>
        <w:tc>
          <w:tcPr>
            <w:tcW w:w="847" w:type="pct"/>
            <w:tcBorders>
              <w:top w:val="single" w:sz="4" w:space="0" w:color="auto"/>
              <w:left w:val="single" w:sz="4" w:space="0" w:color="auto"/>
              <w:bottom w:val="single" w:sz="4" w:space="0" w:color="auto"/>
              <w:right w:val="single" w:sz="4" w:space="0" w:color="auto"/>
            </w:tcBorders>
            <w:noWrap/>
            <w:hideMark/>
          </w:tcPr>
          <w:p w14:paraId="1CFB65E5" w14:textId="61358A82"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$6,645,132</w:t>
            </w:r>
          </w:p>
        </w:tc>
        <w:tc>
          <w:tcPr>
            <w:tcW w:w="847" w:type="pct"/>
            <w:tcBorders>
              <w:top w:val="single" w:sz="4" w:space="0" w:color="auto"/>
              <w:left w:val="nil"/>
              <w:bottom w:val="single" w:sz="4" w:space="0" w:color="auto"/>
              <w:right w:val="single" w:sz="4" w:space="0" w:color="auto"/>
            </w:tcBorders>
            <w:noWrap/>
            <w:hideMark/>
          </w:tcPr>
          <w:p w14:paraId="7380BCDC"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$6,355,000</w:t>
            </w:r>
          </w:p>
        </w:tc>
        <w:tc>
          <w:tcPr>
            <w:tcW w:w="847" w:type="pct"/>
            <w:tcBorders>
              <w:top w:val="single" w:sz="4" w:space="0" w:color="auto"/>
              <w:left w:val="nil"/>
              <w:bottom w:val="single" w:sz="4" w:space="0" w:color="auto"/>
              <w:right w:val="single" w:sz="4" w:space="0" w:color="auto"/>
            </w:tcBorders>
            <w:noWrap/>
            <w:hideMark/>
          </w:tcPr>
          <w:p w14:paraId="2CDA2661"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$5,992,241</w:t>
            </w:r>
          </w:p>
        </w:tc>
        <w:tc>
          <w:tcPr>
            <w:tcW w:w="847" w:type="pct"/>
            <w:tcBorders>
              <w:top w:val="single" w:sz="4" w:space="0" w:color="auto"/>
              <w:left w:val="nil"/>
              <w:bottom w:val="single" w:sz="4" w:space="0" w:color="auto"/>
              <w:right w:val="single" w:sz="4" w:space="0" w:color="auto"/>
            </w:tcBorders>
            <w:noWrap/>
            <w:hideMark/>
          </w:tcPr>
          <w:p w14:paraId="47FF24CA"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$5,630,627</w:t>
            </w:r>
          </w:p>
        </w:tc>
        <w:tc>
          <w:tcPr>
            <w:tcW w:w="846" w:type="pct"/>
            <w:tcBorders>
              <w:top w:val="single" w:sz="4" w:space="0" w:color="auto"/>
              <w:left w:val="nil"/>
              <w:bottom w:val="single" w:sz="4" w:space="0" w:color="auto"/>
              <w:right w:val="single" w:sz="4" w:space="0" w:color="auto"/>
            </w:tcBorders>
            <w:noWrap/>
            <w:hideMark/>
          </w:tcPr>
          <w:p w14:paraId="22333326"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$5,890,685</w:t>
            </w:r>
          </w:p>
        </w:tc>
      </w:tr>
      <w:tr w:rsidR="006A506D" w:rsidRPr="006A506D" w14:paraId="6EF567DE" w14:textId="77777777" w:rsidTr="008B1454">
        <w:trPr>
          <w:cantSplit/>
          <w:trHeight w:val="440"/>
        </w:trPr>
        <w:tc>
          <w:tcPr>
            <w:tcW w:w="766" w:type="pct"/>
            <w:tcBorders>
              <w:top w:val="nil"/>
              <w:left w:val="single" w:sz="4" w:space="0" w:color="auto"/>
              <w:bottom w:val="single" w:sz="4" w:space="0" w:color="auto"/>
              <w:right w:val="single" w:sz="4" w:space="0" w:color="auto"/>
            </w:tcBorders>
          </w:tcPr>
          <w:p w14:paraId="49CFF663" w14:textId="26027D72"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1700024701</w:t>
            </w:r>
          </w:p>
        </w:tc>
        <w:tc>
          <w:tcPr>
            <w:tcW w:w="847" w:type="pct"/>
            <w:tcBorders>
              <w:top w:val="nil"/>
              <w:left w:val="single" w:sz="4" w:space="0" w:color="auto"/>
              <w:bottom w:val="single" w:sz="4" w:space="0" w:color="auto"/>
              <w:right w:val="single" w:sz="4" w:space="0" w:color="auto"/>
            </w:tcBorders>
            <w:noWrap/>
            <w:hideMark/>
          </w:tcPr>
          <w:p w14:paraId="3CFB2773" w14:textId="1376A621"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$22,701,479</w:t>
            </w:r>
          </w:p>
        </w:tc>
        <w:tc>
          <w:tcPr>
            <w:tcW w:w="847" w:type="pct"/>
            <w:tcBorders>
              <w:top w:val="nil"/>
              <w:left w:val="nil"/>
              <w:bottom w:val="single" w:sz="4" w:space="0" w:color="auto"/>
              <w:right w:val="single" w:sz="4" w:space="0" w:color="auto"/>
            </w:tcBorders>
            <w:noWrap/>
            <w:hideMark/>
          </w:tcPr>
          <w:p w14:paraId="0A252EC9"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$22,334,934</w:t>
            </w:r>
          </w:p>
        </w:tc>
        <w:tc>
          <w:tcPr>
            <w:tcW w:w="847" w:type="pct"/>
            <w:tcBorders>
              <w:top w:val="nil"/>
              <w:left w:val="nil"/>
              <w:bottom w:val="single" w:sz="4" w:space="0" w:color="auto"/>
              <w:right w:val="single" w:sz="4" w:space="0" w:color="auto"/>
            </w:tcBorders>
            <w:noWrap/>
            <w:hideMark/>
          </w:tcPr>
          <w:p w14:paraId="4F809DD9"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$21,878,767</w:t>
            </w:r>
          </w:p>
        </w:tc>
        <w:tc>
          <w:tcPr>
            <w:tcW w:w="847" w:type="pct"/>
            <w:tcBorders>
              <w:top w:val="nil"/>
              <w:left w:val="nil"/>
              <w:bottom w:val="single" w:sz="4" w:space="0" w:color="auto"/>
              <w:right w:val="single" w:sz="4" w:space="0" w:color="auto"/>
            </w:tcBorders>
            <w:noWrap/>
            <w:hideMark/>
          </w:tcPr>
          <w:p w14:paraId="14347CF4"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$21,317,213</w:t>
            </w:r>
          </w:p>
        </w:tc>
        <w:tc>
          <w:tcPr>
            <w:tcW w:w="846" w:type="pct"/>
            <w:tcBorders>
              <w:top w:val="nil"/>
              <w:left w:val="nil"/>
              <w:bottom w:val="single" w:sz="4" w:space="0" w:color="auto"/>
              <w:right w:val="single" w:sz="4" w:space="0" w:color="auto"/>
            </w:tcBorders>
            <w:noWrap/>
            <w:hideMark/>
          </w:tcPr>
          <w:p w14:paraId="3CAA5E6E"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$22,821,788</w:t>
            </w:r>
          </w:p>
        </w:tc>
      </w:tr>
    </w:tbl>
    <w:p w14:paraId="6913D63B" w14:textId="1CBE7A9B" w:rsidR="006A506D" w:rsidRDefault="006A506D" w:rsidP="006A506D">
      <w:pPr>
        <w:spacing w:before="240" w:after="0"/>
      </w:pPr>
      <w:r>
        <w:t>Jackson</w:t>
      </w:r>
      <w:r>
        <w:t xml:space="preserve"> Parish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619"/>
        <w:gridCol w:w="1532"/>
        <w:gridCol w:w="1619"/>
        <w:gridCol w:w="1619"/>
        <w:gridCol w:w="1526"/>
      </w:tblGrid>
      <w:tr w:rsidR="008B1454" w:rsidRPr="006A506D" w14:paraId="0D1FD962" w14:textId="77777777" w:rsidTr="008B1454">
        <w:trPr>
          <w:cantSplit/>
          <w:trHeight w:val="350"/>
        </w:trPr>
        <w:tc>
          <w:tcPr>
            <w:tcW w:w="767" w:type="pct"/>
          </w:tcPr>
          <w:p w14:paraId="00DDAA8C" w14:textId="0782C7A2"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Assessment</w:t>
            </w:r>
          </w:p>
        </w:tc>
        <w:tc>
          <w:tcPr>
            <w:tcW w:w="866" w:type="pct"/>
            <w:noWrap/>
            <w:hideMark/>
          </w:tcPr>
          <w:p w14:paraId="16E7FCBE" w14:textId="5EF1E4A6"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2019</w:t>
            </w:r>
          </w:p>
        </w:tc>
        <w:tc>
          <w:tcPr>
            <w:tcW w:w="819" w:type="pct"/>
            <w:noWrap/>
            <w:hideMark/>
          </w:tcPr>
          <w:p w14:paraId="5CD7C2B0" w14:textId="77777777"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2020</w:t>
            </w:r>
          </w:p>
        </w:tc>
        <w:tc>
          <w:tcPr>
            <w:tcW w:w="866" w:type="pct"/>
            <w:noWrap/>
            <w:hideMark/>
          </w:tcPr>
          <w:p w14:paraId="5C54C695" w14:textId="77777777"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2021</w:t>
            </w:r>
          </w:p>
        </w:tc>
        <w:tc>
          <w:tcPr>
            <w:tcW w:w="866" w:type="pct"/>
            <w:noWrap/>
            <w:hideMark/>
          </w:tcPr>
          <w:p w14:paraId="3B532A81" w14:textId="77777777"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2022</w:t>
            </w:r>
          </w:p>
        </w:tc>
        <w:tc>
          <w:tcPr>
            <w:tcW w:w="816" w:type="pct"/>
            <w:noWrap/>
            <w:hideMark/>
          </w:tcPr>
          <w:p w14:paraId="009271AE" w14:textId="77777777"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2023</w:t>
            </w:r>
          </w:p>
        </w:tc>
      </w:tr>
      <w:tr w:rsidR="008B1454" w:rsidRPr="006A506D" w14:paraId="3832270A" w14:textId="77777777" w:rsidTr="008B1454">
        <w:trPr>
          <w:cantSplit/>
          <w:trHeight w:val="255"/>
        </w:trPr>
        <w:tc>
          <w:tcPr>
            <w:tcW w:w="767" w:type="pct"/>
          </w:tcPr>
          <w:p w14:paraId="1E943D7D" w14:textId="4BA313FE"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2010005800</w:t>
            </w:r>
          </w:p>
        </w:tc>
        <w:tc>
          <w:tcPr>
            <w:tcW w:w="866" w:type="pct"/>
            <w:noWrap/>
            <w:hideMark/>
          </w:tcPr>
          <w:p w14:paraId="40522D41" w14:textId="52E46219"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$360,667</w:t>
            </w:r>
          </w:p>
        </w:tc>
        <w:tc>
          <w:tcPr>
            <w:tcW w:w="819" w:type="pct"/>
            <w:noWrap/>
            <w:hideMark/>
          </w:tcPr>
          <w:p w14:paraId="2B9EE999"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$364,533</w:t>
            </w:r>
          </w:p>
        </w:tc>
        <w:tc>
          <w:tcPr>
            <w:tcW w:w="866" w:type="pct"/>
            <w:noWrap/>
            <w:hideMark/>
          </w:tcPr>
          <w:p w14:paraId="0A745F9D"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$353,138</w:t>
            </w:r>
          </w:p>
        </w:tc>
        <w:tc>
          <w:tcPr>
            <w:tcW w:w="866" w:type="pct"/>
            <w:noWrap/>
            <w:hideMark/>
          </w:tcPr>
          <w:p w14:paraId="2D84B306"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$339,267</w:t>
            </w:r>
          </w:p>
        </w:tc>
        <w:tc>
          <w:tcPr>
            <w:tcW w:w="816" w:type="pct"/>
            <w:noWrap/>
            <w:hideMark/>
          </w:tcPr>
          <w:p w14:paraId="56D4AE5E"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$388,831</w:t>
            </w:r>
          </w:p>
        </w:tc>
      </w:tr>
      <w:tr w:rsidR="008B1454" w:rsidRPr="006A506D" w14:paraId="220DEA8F" w14:textId="77777777" w:rsidTr="008B1454">
        <w:trPr>
          <w:cantSplit/>
          <w:trHeight w:val="255"/>
        </w:trPr>
        <w:tc>
          <w:tcPr>
            <w:tcW w:w="767" w:type="pct"/>
          </w:tcPr>
          <w:p w14:paraId="471725C7" w14:textId="6E7E64E8"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2010005801</w:t>
            </w:r>
          </w:p>
        </w:tc>
        <w:tc>
          <w:tcPr>
            <w:tcW w:w="866" w:type="pct"/>
            <w:noWrap/>
            <w:hideMark/>
          </w:tcPr>
          <w:p w14:paraId="62F236F5" w14:textId="2F1EAE72"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$54,081,200</w:t>
            </w:r>
          </w:p>
        </w:tc>
        <w:tc>
          <w:tcPr>
            <w:tcW w:w="819" w:type="pct"/>
            <w:noWrap/>
            <w:hideMark/>
          </w:tcPr>
          <w:p w14:paraId="0133373D"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$53,322,800</w:t>
            </w:r>
          </w:p>
        </w:tc>
        <w:tc>
          <w:tcPr>
            <w:tcW w:w="866" w:type="pct"/>
            <w:noWrap/>
            <w:hideMark/>
          </w:tcPr>
          <w:p w14:paraId="24DAD7A8"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$51,711,800</w:t>
            </w:r>
          </w:p>
        </w:tc>
        <w:tc>
          <w:tcPr>
            <w:tcW w:w="866" w:type="pct"/>
            <w:noWrap/>
            <w:hideMark/>
          </w:tcPr>
          <w:p w14:paraId="7A902038"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$49,296,333</w:t>
            </w:r>
          </w:p>
        </w:tc>
        <w:tc>
          <w:tcPr>
            <w:tcW w:w="816" w:type="pct"/>
            <w:noWrap/>
            <w:hideMark/>
          </w:tcPr>
          <w:p w14:paraId="06310809"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$53,041,384</w:t>
            </w:r>
          </w:p>
        </w:tc>
      </w:tr>
      <w:tr w:rsidR="008B1454" w:rsidRPr="006A506D" w14:paraId="256A1B61" w14:textId="77777777" w:rsidTr="008B1454">
        <w:trPr>
          <w:cantSplit/>
          <w:trHeight w:val="255"/>
        </w:trPr>
        <w:tc>
          <w:tcPr>
            <w:tcW w:w="767" w:type="pct"/>
          </w:tcPr>
          <w:p w14:paraId="282B52F7" w14:textId="4A77D20E"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2030030261</w:t>
            </w:r>
          </w:p>
        </w:tc>
        <w:tc>
          <w:tcPr>
            <w:tcW w:w="866" w:type="pct"/>
            <w:noWrap/>
            <w:hideMark/>
          </w:tcPr>
          <w:p w14:paraId="48652FBE" w14:textId="6A430533"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$27,040,600</w:t>
            </w:r>
          </w:p>
        </w:tc>
        <w:tc>
          <w:tcPr>
            <w:tcW w:w="819" w:type="pct"/>
            <w:noWrap/>
            <w:hideMark/>
          </w:tcPr>
          <w:p w14:paraId="6CE5748C"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$26,661,466</w:t>
            </w:r>
          </w:p>
        </w:tc>
        <w:tc>
          <w:tcPr>
            <w:tcW w:w="866" w:type="pct"/>
            <w:noWrap/>
            <w:hideMark/>
          </w:tcPr>
          <w:p w14:paraId="39B5079C"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$25,855,933</w:t>
            </w:r>
          </w:p>
        </w:tc>
        <w:tc>
          <w:tcPr>
            <w:tcW w:w="866" w:type="pct"/>
            <w:noWrap/>
            <w:hideMark/>
          </w:tcPr>
          <w:p w14:paraId="70F1C31C"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$24,648,200</w:t>
            </w:r>
          </w:p>
        </w:tc>
        <w:tc>
          <w:tcPr>
            <w:tcW w:w="816" w:type="pct"/>
            <w:noWrap/>
            <w:hideMark/>
          </w:tcPr>
          <w:p w14:paraId="05D70867"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$26,520,692</w:t>
            </w:r>
          </w:p>
        </w:tc>
      </w:tr>
      <w:tr w:rsidR="008B1454" w:rsidRPr="006A506D" w14:paraId="29B647DB" w14:textId="77777777" w:rsidTr="008B1454">
        <w:trPr>
          <w:cantSplit/>
          <w:trHeight w:val="255"/>
        </w:trPr>
        <w:tc>
          <w:tcPr>
            <w:tcW w:w="767" w:type="pct"/>
          </w:tcPr>
          <w:p w14:paraId="490FE10D" w14:textId="79F82B99" w:rsidR="006A506D" w:rsidRPr="006A506D" w:rsidRDefault="006A506D" w:rsidP="005B2CD6">
            <w:pPr>
              <w:spacing w:before="240"/>
              <w:ind w:firstLine="0"/>
              <w:rPr>
                <w:rFonts w:ascii="Calibri" w:hAnsi="Calibri" w:cs="Calibri"/>
                <w:b/>
                <w:bCs/>
                <w:sz w:val="24"/>
                <w:szCs w:val="24"/>
              </w:rPr>
            </w:pPr>
            <w:r w:rsidRPr="006A506D">
              <w:rPr>
                <w:rFonts w:ascii="Calibri" w:hAnsi="Calibri" w:cs="Calibri"/>
                <w:b/>
                <w:bCs/>
                <w:sz w:val="24"/>
                <w:szCs w:val="24"/>
              </w:rPr>
              <w:t>2040004221</w:t>
            </w:r>
          </w:p>
        </w:tc>
        <w:tc>
          <w:tcPr>
            <w:tcW w:w="866" w:type="pct"/>
            <w:noWrap/>
            <w:hideMark/>
          </w:tcPr>
          <w:p w14:paraId="13087857" w14:textId="52EC29E4"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$54,081,200</w:t>
            </w:r>
          </w:p>
        </w:tc>
        <w:tc>
          <w:tcPr>
            <w:tcW w:w="819" w:type="pct"/>
            <w:noWrap/>
            <w:hideMark/>
          </w:tcPr>
          <w:p w14:paraId="46FD6ACF"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$53,322,800</w:t>
            </w:r>
          </w:p>
        </w:tc>
        <w:tc>
          <w:tcPr>
            <w:tcW w:w="866" w:type="pct"/>
            <w:noWrap/>
            <w:hideMark/>
          </w:tcPr>
          <w:p w14:paraId="02F772CD"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$51,711,800</w:t>
            </w:r>
          </w:p>
        </w:tc>
        <w:tc>
          <w:tcPr>
            <w:tcW w:w="866" w:type="pct"/>
            <w:noWrap/>
            <w:hideMark/>
          </w:tcPr>
          <w:p w14:paraId="69FBCFA7"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$49,296,333</w:t>
            </w:r>
          </w:p>
        </w:tc>
        <w:tc>
          <w:tcPr>
            <w:tcW w:w="816" w:type="pct"/>
            <w:noWrap/>
            <w:hideMark/>
          </w:tcPr>
          <w:p w14:paraId="7C5A27D0" w14:textId="77777777" w:rsidR="006A506D" w:rsidRPr="006A506D" w:rsidRDefault="006A506D" w:rsidP="005B2CD6">
            <w:pPr>
              <w:spacing w:before="240"/>
              <w:ind w:firstLine="0"/>
              <w:rPr>
                <w:rFonts w:ascii="Calibri" w:hAnsi="Calibri" w:cs="Calibri"/>
                <w:sz w:val="24"/>
                <w:szCs w:val="24"/>
              </w:rPr>
            </w:pPr>
            <w:r w:rsidRPr="006A506D">
              <w:rPr>
                <w:rFonts w:ascii="Calibri" w:hAnsi="Calibri" w:cs="Calibri"/>
                <w:sz w:val="24"/>
                <w:szCs w:val="24"/>
              </w:rPr>
              <w:t>$53,041,384</w:t>
            </w:r>
          </w:p>
        </w:tc>
      </w:tr>
    </w:tbl>
    <w:p w14:paraId="696711DF" w14:textId="1DC9B37B" w:rsidR="00CA1B87" w:rsidRDefault="00C267D7" w:rsidP="008B1454">
      <w:pPr>
        <w:spacing w:before="240"/>
      </w:pPr>
      <w:r>
        <w:t xml:space="preserve">It is further Ordered, Adjudged, and Decreed </w:t>
      </w:r>
      <w:r w:rsidR="00CA1B87">
        <w:t>that Judgment be and is hereby rendered in favor of</w:t>
      </w:r>
      <w:r w:rsidR="00B10A3E">
        <w:t>:</w:t>
      </w:r>
      <w:r w:rsidR="00CA1B87">
        <w:t xml:space="preserve"> Assessor Scott Meredith and the Caldwell Parish Board of Review</w:t>
      </w:r>
      <w:r w:rsidR="00B10A3E">
        <w:t>;</w:t>
      </w:r>
      <w:r w:rsidR="00CA1B87">
        <w:t xml:space="preserve"> Assessor Adron Henderson and the Franklin Parish Board of Review</w:t>
      </w:r>
      <w:r w:rsidR="00B10A3E">
        <w:t>; and</w:t>
      </w:r>
      <w:r w:rsidR="00CA1B87">
        <w:t xml:space="preserve"> Assessor Glen Kirkland and the Jackson Parish Board of Review.</w:t>
      </w:r>
    </w:p>
    <w:p w14:paraId="27FE6AA3" w14:textId="171FD199" w:rsidR="00245851" w:rsidRDefault="00C267D7" w:rsidP="00FE71F3">
      <w:r>
        <w:t xml:space="preserve">It is further Ordered, Adjudged, and Decreed </w:t>
      </w:r>
      <w:r w:rsidR="00CA1B87">
        <w:t>that Judgment</w:t>
      </w:r>
      <w:r w:rsidR="0042211A">
        <w:t xml:space="preserve"> </w:t>
      </w:r>
      <w:r w:rsidR="00CA1B87">
        <w:t>be and is hereby rendered against Regency Intrastate Gas, LLC.</w:t>
      </w:r>
    </w:p>
    <w:p w14:paraId="199ABCDD" w14:textId="71260DF9" w:rsidR="00245851" w:rsidRPr="008B1454" w:rsidRDefault="00245851" w:rsidP="00FE71F3">
      <w:pPr>
        <w:rPr>
          <w:b/>
          <w:bCs/>
        </w:rPr>
      </w:pPr>
      <w:r w:rsidRPr="008B1454">
        <w:rPr>
          <w:b/>
          <w:bCs/>
        </w:rPr>
        <w:t xml:space="preserve">Judgment Rendered and Signed at Baton Rouge, Louisiana, on this </w:t>
      </w:r>
      <w:r w:rsidR="00C267D7" w:rsidRPr="008B1454">
        <w:rPr>
          <w:b/>
          <w:bCs/>
        </w:rPr>
        <w:t>7</w:t>
      </w:r>
      <w:r w:rsidR="00C267D7" w:rsidRPr="008B1454">
        <w:rPr>
          <w:b/>
          <w:bCs/>
          <w:vertAlign w:val="superscript"/>
        </w:rPr>
        <w:t>th</w:t>
      </w:r>
      <w:r w:rsidR="00C267D7" w:rsidRPr="008B1454">
        <w:rPr>
          <w:b/>
          <w:bCs/>
        </w:rPr>
        <w:t xml:space="preserve"> </w:t>
      </w:r>
      <w:r w:rsidRPr="008B1454">
        <w:rPr>
          <w:b/>
          <w:bCs/>
        </w:rPr>
        <w:t xml:space="preserve">Day of </w:t>
      </w:r>
      <w:proofErr w:type="gramStart"/>
      <w:r w:rsidR="00C267D7" w:rsidRPr="008B1454">
        <w:rPr>
          <w:b/>
          <w:bCs/>
        </w:rPr>
        <w:t>April</w:t>
      </w:r>
      <w:r w:rsidRPr="008B1454">
        <w:rPr>
          <w:b/>
          <w:bCs/>
        </w:rPr>
        <w:t>,</w:t>
      </w:r>
      <w:proofErr w:type="gramEnd"/>
      <w:r w:rsidRPr="008B1454">
        <w:rPr>
          <w:b/>
          <w:bCs/>
        </w:rPr>
        <w:t xml:space="preserve"> 2026.</w:t>
      </w:r>
    </w:p>
    <w:p w14:paraId="604C348A" w14:textId="7A327E11" w:rsidR="00245851" w:rsidRPr="00C267D7" w:rsidRDefault="00C267D7" w:rsidP="00FE71F3">
      <w:pPr>
        <w:rPr>
          <w:b/>
          <w:bCs/>
        </w:rPr>
      </w:pPr>
      <w:bookmarkStart w:id="1" w:name="_Hlk225342730"/>
      <w:r w:rsidRPr="00C267D7">
        <w:rPr>
          <w:b/>
          <w:bCs/>
        </w:rPr>
        <w:t>For the Board</w:t>
      </w:r>
      <w:r w:rsidR="00245851" w:rsidRPr="00C267D7">
        <w:rPr>
          <w:b/>
          <w:bCs/>
        </w:rPr>
        <w:t>:</w:t>
      </w:r>
    </w:p>
    <w:p w14:paraId="1F51D013" w14:textId="7187467F" w:rsidR="00245851" w:rsidRPr="00C267D7" w:rsidRDefault="00C267D7" w:rsidP="00FE71F3">
      <w:pPr>
        <w:rPr>
          <w:b/>
          <w:bCs/>
        </w:rPr>
      </w:pPr>
      <w:r w:rsidRPr="00C267D7">
        <w:rPr>
          <w:b/>
          <w:bCs/>
        </w:rPr>
        <w:t>Hon. Cade R. Cole</w:t>
      </w:r>
    </w:p>
    <w:p w14:paraId="20A82A18" w14:textId="66474EF3" w:rsidR="00245851" w:rsidRPr="00C267D7" w:rsidRDefault="00C267D7" w:rsidP="00FE71F3">
      <w:pPr>
        <w:rPr>
          <w:b/>
          <w:bCs/>
        </w:rPr>
      </w:pPr>
      <w:r w:rsidRPr="00C267D7">
        <w:rPr>
          <w:b/>
          <w:bCs/>
        </w:rPr>
        <w:t xml:space="preserve">Local Tax Judge </w:t>
      </w:r>
      <w:r w:rsidRPr="00C267D7">
        <w:rPr>
          <w:b/>
          <w:bCs/>
          <w:i/>
        </w:rPr>
        <w:t>Ad Hoc</w:t>
      </w:r>
    </w:p>
    <w:p w14:paraId="6E638F3E" w14:textId="29153923" w:rsidR="00245851" w:rsidRPr="00C267D7" w:rsidRDefault="00C267D7" w:rsidP="00FE71F3">
      <w:pPr>
        <w:rPr>
          <w:b/>
          <w:bCs/>
        </w:rPr>
      </w:pPr>
      <w:r w:rsidRPr="00C267D7">
        <w:rPr>
          <w:b/>
          <w:bCs/>
        </w:rPr>
        <w:t>Board of Tax Appeals</w:t>
      </w:r>
    </w:p>
    <w:p w14:paraId="384EBBAF" w14:textId="1203E948" w:rsidR="00565A21" w:rsidRPr="00C267D7" w:rsidRDefault="00C267D7" w:rsidP="00FE71F3">
      <w:pPr>
        <w:rPr>
          <w:b/>
          <w:bCs/>
        </w:rPr>
        <w:sectPr w:rsidR="00565A21" w:rsidRPr="00C267D7" w:rsidSect="00335D53">
          <w:footerReference w:type="default" r:id="rId7"/>
          <w:pgSz w:w="12240" w:h="20160" w:code="5"/>
          <w:pgMar w:top="1440" w:right="1440" w:bottom="1440" w:left="1440" w:header="720" w:footer="720" w:gutter="0"/>
          <w:cols w:space="720"/>
          <w:docGrid w:linePitch="360"/>
        </w:sectPr>
      </w:pPr>
      <w:r w:rsidRPr="00C267D7">
        <w:rPr>
          <w:b/>
          <w:bCs/>
        </w:rPr>
        <w:t>State of Louisiana</w:t>
      </w:r>
    </w:p>
    <w:bookmarkEnd w:id="1"/>
    <w:p w14:paraId="3C413752" w14:textId="21C244EF" w:rsidR="00565A21" w:rsidRPr="00565A21" w:rsidRDefault="00352B5A" w:rsidP="00352B5A">
      <w:pPr>
        <w:pStyle w:val="Heading2"/>
      </w:pPr>
      <w:r>
        <w:lastRenderedPageBreak/>
        <w:t>W</w:t>
      </w:r>
      <w:r w:rsidRPr="00565A21">
        <w:t xml:space="preserve">ritten </w:t>
      </w:r>
      <w:r>
        <w:t>R</w:t>
      </w:r>
      <w:r w:rsidRPr="00565A21">
        <w:t xml:space="preserve">easons for </w:t>
      </w:r>
      <w:r>
        <w:t>J</w:t>
      </w:r>
      <w:r w:rsidRPr="00565A21">
        <w:t>udgment</w:t>
      </w:r>
    </w:p>
    <w:p w14:paraId="6598F729" w14:textId="16AFCCB5" w:rsidR="00565A21" w:rsidRDefault="00565A21" w:rsidP="00FE71F3">
      <w:r>
        <w:t xml:space="preserve">These consolidated </w:t>
      </w:r>
      <w:r w:rsidRPr="00CE1839">
        <w:t>m</w:t>
      </w:r>
      <w:r>
        <w:t xml:space="preserve">atters came before the Board for oral argument on November 5, 2025, with </w:t>
      </w:r>
      <w:r w:rsidR="00F26D20">
        <w:t xml:space="preserve">Local Tax Judge </w:t>
      </w:r>
      <w:r w:rsidR="00F26D20" w:rsidRPr="00F26D20">
        <w:rPr>
          <w:i/>
          <w:iCs/>
        </w:rPr>
        <w:t>Ad Hoc</w:t>
      </w:r>
      <w:r>
        <w:t xml:space="preserve"> Cade R. Cole</w:t>
      </w:r>
      <w:r w:rsidR="001A2999">
        <w:t xml:space="preserve"> presiding</w:t>
      </w:r>
      <w:r>
        <w:t>.</w:t>
      </w:r>
      <w:r w:rsidR="004337D7">
        <w:rPr>
          <w:rStyle w:val="FootnoteReference"/>
        </w:rPr>
        <w:footnoteReference w:id="3"/>
      </w:r>
      <w:r>
        <w:t xml:space="preserve"> Appearing before the Board were: Brian Eddington, attorney for Assessor Scott Meredith and </w:t>
      </w:r>
      <w:r w:rsidR="00AE384B">
        <w:t xml:space="preserve">the </w:t>
      </w:r>
      <w:r>
        <w:t>Caldwell Parish Board of Review, Assessor Adron Henderson</w:t>
      </w:r>
      <w:r>
        <w:rPr>
          <w:rStyle w:val="FootnoteReference"/>
        </w:rPr>
        <w:footnoteReference w:id="4"/>
      </w:r>
      <w:r>
        <w:t xml:space="preserve"> and </w:t>
      </w:r>
      <w:r w:rsidR="00AE384B">
        <w:t xml:space="preserve">the </w:t>
      </w:r>
      <w:r>
        <w:t xml:space="preserve">Franklin Parish Board of Review, and Assessor Glen Kirkland and </w:t>
      </w:r>
      <w:r w:rsidR="00AE384B">
        <w:t xml:space="preserve">the </w:t>
      </w:r>
      <w:r>
        <w:t xml:space="preserve">Jackson Parish Board of Review (collectively, the </w:t>
      </w:r>
      <w:r w:rsidR="00DF5B0A">
        <w:t>“</w:t>
      </w:r>
      <w:r>
        <w:t>Assessors</w:t>
      </w:r>
      <w:r w:rsidR="00DF5B0A">
        <w:t>”</w:t>
      </w:r>
      <w:r>
        <w:t>); Angela Adolph, attorney for Regency Intrastate Gas, LLC (</w:t>
      </w:r>
      <w:r w:rsidR="00DF5B0A">
        <w:t>“</w:t>
      </w:r>
      <w:r>
        <w:t>RIG</w:t>
      </w:r>
      <w:r w:rsidR="00DF5B0A">
        <w:t>”</w:t>
      </w:r>
      <w:r>
        <w:t xml:space="preserve">); </w:t>
      </w:r>
      <w:r w:rsidR="00CA1B87">
        <w:t xml:space="preserve">and Drew Hoffman, attorney for the Louisiana Tax Commission (“LTC”) making only a limited appearance after having been dismissed from these consolidated matters by Order of the Board signed on August 8, 2023, and </w:t>
      </w:r>
      <w:r w:rsidR="00CA1B87">
        <w:lastRenderedPageBreak/>
        <w:t xml:space="preserve">having been served with notice of the oral argument as required by </w:t>
      </w:r>
      <w:r w:rsidR="00AE384B">
        <w:t>La. R.S. 47:1998(I)</w:t>
      </w:r>
      <w:r w:rsidR="00CA1B87">
        <w:t xml:space="preserve">. </w:t>
      </w:r>
      <w:r>
        <w:t xml:space="preserve">After </w:t>
      </w:r>
      <w:r w:rsidR="00DF0F02">
        <w:t xml:space="preserve">hearing </w:t>
      </w:r>
      <w:r>
        <w:t>argument from counsel, the Board took the matters under advisement. The Board now issues the following Written Reasons for Judgment</w:t>
      </w:r>
      <w:r w:rsidR="00DF0F02">
        <w:t>.</w:t>
      </w:r>
    </w:p>
    <w:p w14:paraId="7B6DD68C" w14:textId="2B7605BB" w:rsidR="00565A21" w:rsidRPr="00352B5A" w:rsidRDefault="00565A21" w:rsidP="00352B5A">
      <w:pPr>
        <w:pStyle w:val="Heading3"/>
      </w:pPr>
      <w:r w:rsidRPr="00352B5A">
        <w:rPr>
          <w:rStyle w:val="Heading1Char"/>
          <w:b/>
          <w:bCs/>
        </w:rPr>
        <w:t>Background</w:t>
      </w:r>
    </w:p>
    <w:p w14:paraId="4451886B" w14:textId="1CBEBCA2" w:rsidR="00565A21" w:rsidRDefault="00565A21" w:rsidP="00FE71F3">
      <w:r>
        <w:t>RIG operates a</w:t>
      </w:r>
      <w:r w:rsidR="00D35996">
        <w:t xml:space="preserve"> four hundred and seventy-two</w:t>
      </w:r>
      <w:r>
        <w:t xml:space="preserve"> </w:t>
      </w:r>
      <w:r w:rsidR="00D35996">
        <w:t>(</w:t>
      </w:r>
      <w:r w:rsidRPr="00565A21">
        <w:t>472</w:t>
      </w:r>
      <w:r w:rsidR="00D35996">
        <w:t xml:space="preserve">) </w:t>
      </w:r>
      <w:r w:rsidRPr="00565A21">
        <w:t xml:space="preserve">mile </w:t>
      </w:r>
      <w:r>
        <w:t>intrastate natural gas pipeline system that runs through ten parishes in north Louisiana</w:t>
      </w:r>
      <w:r w:rsidR="00C85631">
        <w:t xml:space="preserve"> from Caddo Parish in the west to Franklin Parish in the east</w:t>
      </w:r>
      <w:r w:rsidR="00C828EB">
        <w:t xml:space="preserve"> (the </w:t>
      </w:r>
      <w:r w:rsidR="00DF5B0A">
        <w:t>“</w:t>
      </w:r>
      <w:r w:rsidR="00C828EB">
        <w:t>Pipeline System</w:t>
      </w:r>
      <w:r w:rsidR="00DF5B0A">
        <w:t>”</w:t>
      </w:r>
      <w:r w:rsidR="00C828EB">
        <w:t xml:space="preserve">). </w:t>
      </w:r>
      <w:r>
        <w:t xml:space="preserve">The </w:t>
      </w:r>
      <w:r w:rsidR="00C828EB">
        <w:t>P</w:t>
      </w:r>
      <w:r>
        <w:t xml:space="preserve">ipeline </w:t>
      </w:r>
      <w:r w:rsidR="00C828EB">
        <w:t>S</w:t>
      </w:r>
      <w:r>
        <w:t xml:space="preserve">ystem consists of </w:t>
      </w:r>
      <w:proofErr w:type="gramStart"/>
      <w:r>
        <w:t>pipe</w:t>
      </w:r>
      <w:proofErr w:type="gramEnd"/>
      <w:r>
        <w:t xml:space="preserve"> ranging in size from 2 inches in diameter to 42 inches in diameter</w:t>
      </w:r>
      <w:r w:rsidR="00E00A03">
        <w:t>.</w:t>
      </w:r>
      <w:r>
        <w:t xml:space="preserve"> </w:t>
      </w:r>
      <w:r w:rsidR="00E00A03">
        <w:t>T</w:t>
      </w:r>
      <w:r>
        <w:t xml:space="preserve">he smaller </w:t>
      </w:r>
      <w:r w:rsidR="007213AE">
        <w:t xml:space="preserve">diameter </w:t>
      </w:r>
      <w:r>
        <w:t xml:space="preserve">pipe </w:t>
      </w:r>
      <w:proofErr w:type="gramStart"/>
      <w:r w:rsidR="00E00A03">
        <w:t>is located in</w:t>
      </w:r>
      <w:proofErr w:type="gramEnd"/>
      <w:r w:rsidR="00E00A03">
        <w:t xml:space="preserve"> </w:t>
      </w:r>
      <w:r>
        <w:t xml:space="preserve">the </w:t>
      </w:r>
      <w:r w:rsidR="00C85631">
        <w:t xml:space="preserve">west, </w:t>
      </w:r>
      <w:r>
        <w:t>where most of the gas is gathered</w:t>
      </w:r>
      <w:r w:rsidR="00E00A03">
        <w:t>.</w:t>
      </w:r>
      <w:r>
        <w:t xml:space="preserve"> </w:t>
      </w:r>
      <w:r w:rsidR="00E00A03">
        <w:t>T</w:t>
      </w:r>
      <w:r>
        <w:t xml:space="preserve">he larger </w:t>
      </w:r>
      <w:r w:rsidR="007213AE">
        <w:t xml:space="preserve">diameter </w:t>
      </w:r>
      <w:r>
        <w:t xml:space="preserve">pipe </w:t>
      </w:r>
      <w:proofErr w:type="gramStart"/>
      <w:r w:rsidR="00E00A03">
        <w:t xml:space="preserve">is located </w:t>
      </w:r>
      <w:r>
        <w:t>in</w:t>
      </w:r>
      <w:proofErr w:type="gramEnd"/>
      <w:r>
        <w:t xml:space="preserve"> the </w:t>
      </w:r>
      <w:r w:rsidR="00C85631">
        <w:t xml:space="preserve">east, </w:t>
      </w:r>
      <w:r>
        <w:t xml:space="preserve">where it terminates at numerous interconnections with major interstate pipelines. The </w:t>
      </w:r>
      <w:r w:rsidR="00C85631">
        <w:t>P</w:t>
      </w:r>
      <w:r>
        <w:t xml:space="preserve">ipeline </w:t>
      </w:r>
      <w:r w:rsidR="00C85631">
        <w:t>S</w:t>
      </w:r>
      <w:r>
        <w:t xml:space="preserve">ystem also includes large compressor stations in several parishes, including Caldwell Parish (but not Franklin </w:t>
      </w:r>
      <w:r w:rsidR="004D4DEA">
        <w:t xml:space="preserve">Parish </w:t>
      </w:r>
      <w:r>
        <w:t>or Jackson Parish).</w:t>
      </w:r>
      <w:r w:rsidR="00EA686D">
        <w:t xml:space="preserve"> These consolidated appeals concern the portion of the Pipeline System located within Caldwell Parish, Franklin Parish, and Jackson Parish (collectively, the </w:t>
      </w:r>
      <w:r w:rsidR="00DF5B0A">
        <w:t>“</w:t>
      </w:r>
      <w:r w:rsidR="00EA686D">
        <w:t>Property</w:t>
      </w:r>
      <w:r w:rsidR="00DF5B0A">
        <w:t>”</w:t>
      </w:r>
      <w:r w:rsidR="00EA686D">
        <w:t>).</w:t>
      </w:r>
    </w:p>
    <w:p w14:paraId="769B68D2" w14:textId="0D244AB3" w:rsidR="00710C74" w:rsidRDefault="002B59E9" w:rsidP="00FE71F3">
      <w:r>
        <w:t xml:space="preserve">Multiple property tax disputes have been litigated between RIG and the Assessors since 2014. The consolidated appeals in these matters concern the years 2019 through 2023 (collectively, the </w:t>
      </w:r>
      <w:r w:rsidR="00DF5B0A">
        <w:t>“</w:t>
      </w:r>
      <w:r>
        <w:t>Tax Years</w:t>
      </w:r>
      <w:r w:rsidR="00DF5B0A">
        <w:t>”</w:t>
      </w:r>
      <w:r>
        <w:t>). RIG appeals from the LTC</w:t>
      </w:r>
      <w:r w:rsidR="00DF5B0A">
        <w:t>’</w:t>
      </w:r>
      <w:r>
        <w:t>s determination of the Property</w:t>
      </w:r>
      <w:r w:rsidR="00DF5B0A">
        <w:t>’</w:t>
      </w:r>
      <w:r>
        <w:t>s Fair Market Value (</w:t>
      </w:r>
      <w:r w:rsidR="00DF5B0A">
        <w:t>“</w:t>
      </w:r>
      <w:r>
        <w:t>FMV</w:t>
      </w:r>
      <w:r w:rsidR="00DF5B0A">
        <w:t>”</w:t>
      </w:r>
      <w:r>
        <w:t>) for 2019.</w:t>
      </w:r>
      <w:r>
        <w:rPr>
          <w:rStyle w:val="FootnoteReference"/>
        </w:rPr>
        <w:footnoteReference w:id="5"/>
      </w:r>
      <w:r>
        <w:t xml:space="preserve"> RIG also appeals from the LTC</w:t>
      </w:r>
      <w:r w:rsidR="00DF5B0A">
        <w:t>’</w:t>
      </w:r>
      <w:r>
        <w:t>s decision to exclude certain evidence for 2022 and 2023,</w:t>
      </w:r>
      <w:r>
        <w:rPr>
          <w:rStyle w:val="FootnoteReference"/>
        </w:rPr>
        <w:footnoteReference w:id="6"/>
      </w:r>
      <w:r>
        <w:t xml:space="preserve"> but does not appeal from the LTC</w:t>
      </w:r>
      <w:r w:rsidR="00DF5B0A">
        <w:t>’</w:t>
      </w:r>
      <w:r>
        <w:t>s determination of FMV for those years. The Assessors appeal from the LTC</w:t>
      </w:r>
      <w:r w:rsidR="00DF5B0A">
        <w:t>’</w:t>
      </w:r>
      <w:r>
        <w:t>s determination of FMV for the years 2020,</w:t>
      </w:r>
      <w:r>
        <w:rPr>
          <w:rStyle w:val="FootnoteReference"/>
        </w:rPr>
        <w:footnoteReference w:id="7"/>
      </w:r>
      <w:r>
        <w:t xml:space="preserve"> 2021,</w:t>
      </w:r>
      <w:r>
        <w:rPr>
          <w:rStyle w:val="FootnoteReference"/>
        </w:rPr>
        <w:footnoteReference w:id="8"/>
      </w:r>
      <w:r>
        <w:t xml:space="preserve"> 2022,</w:t>
      </w:r>
      <w:r>
        <w:rPr>
          <w:rStyle w:val="FootnoteReference"/>
        </w:rPr>
        <w:footnoteReference w:id="9"/>
      </w:r>
      <w:r>
        <w:t xml:space="preserve"> and 2023.</w:t>
      </w:r>
      <w:r>
        <w:rPr>
          <w:rStyle w:val="FootnoteReference"/>
        </w:rPr>
        <w:footnoteReference w:id="10"/>
      </w:r>
      <w:r>
        <w:t xml:space="preserve"> </w:t>
      </w:r>
    </w:p>
    <w:p w14:paraId="02FAA87D" w14:textId="194B063D" w:rsidR="00565A21" w:rsidRDefault="00EA686D" w:rsidP="00FE71F3">
      <w:r>
        <w:lastRenderedPageBreak/>
        <w:t>In 2009, w</w:t>
      </w:r>
      <w:r w:rsidR="00565A21">
        <w:t xml:space="preserve">ith the discovery of </w:t>
      </w:r>
      <w:r w:rsidR="00C828EB">
        <w:t xml:space="preserve">natural gas in </w:t>
      </w:r>
      <w:r w:rsidR="00565A21">
        <w:t xml:space="preserve">the Haynesville Shale, RIG expanded the </w:t>
      </w:r>
      <w:r w:rsidR="003074C4">
        <w:t>P</w:t>
      </w:r>
      <w:r w:rsidR="00565A21">
        <w:t xml:space="preserve">ipeline </w:t>
      </w:r>
      <w:r w:rsidR="003074C4">
        <w:t>S</w:t>
      </w:r>
      <w:r w:rsidR="00565A21">
        <w:t>ystem</w:t>
      </w:r>
      <w:r w:rsidR="004828F6">
        <w:t xml:space="preserve">. Prior to the expansion, </w:t>
      </w:r>
      <w:r w:rsidR="007213AE">
        <w:t xml:space="preserve">the </w:t>
      </w:r>
      <w:r w:rsidR="004828F6">
        <w:t>Pipeline System</w:t>
      </w:r>
      <w:r w:rsidR="007213AE">
        <w:t>’s</w:t>
      </w:r>
      <w:r w:rsidR="004828F6">
        <w:t xml:space="preserve"> capacity was six</w:t>
      </w:r>
      <w:r w:rsidR="007213AE">
        <w:t xml:space="preserve"> </w:t>
      </w:r>
      <w:r w:rsidR="004828F6">
        <w:t xml:space="preserve">hundred and thirty-seven thousand (637,000) </w:t>
      </w:r>
      <w:r w:rsidR="004828F6" w:rsidRPr="004828F6">
        <w:t xml:space="preserve">billion cubic feet per day </w:t>
      </w:r>
      <w:r w:rsidR="004828F6">
        <w:t>(</w:t>
      </w:r>
      <w:r w:rsidR="00DF5B0A">
        <w:t>“</w:t>
      </w:r>
      <w:r w:rsidR="004828F6">
        <w:t>bcf/d</w:t>
      </w:r>
      <w:r w:rsidR="00DF5B0A">
        <w:t>”</w:t>
      </w:r>
      <w:r w:rsidR="004828F6">
        <w:t xml:space="preserve">). After the expansion </w:t>
      </w:r>
      <w:r w:rsidR="007213AE">
        <w:t xml:space="preserve">the </w:t>
      </w:r>
      <w:r w:rsidR="004828F6">
        <w:t>Pipeline System</w:t>
      </w:r>
      <w:r w:rsidR="007213AE">
        <w:t>’s</w:t>
      </w:r>
      <w:r w:rsidR="004828F6">
        <w:t xml:space="preserve"> capacity </w:t>
      </w:r>
      <w:r w:rsidR="007213AE">
        <w:t xml:space="preserve">increased to </w:t>
      </w:r>
      <w:r w:rsidR="004828F6">
        <w:t>one million, one hundred and twenty-five</w:t>
      </w:r>
      <w:r w:rsidR="002264F8">
        <w:t xml:space="preserve"> thousand</w:t>
      </w:r>
      <w:r w:rsidR="004828F6">
        <w:t xml:space="preserve"> (1,125,000) bcf/d.</w:t>
      </w:r>
      <w:r w:rsidR="00C85631">
        <w:t xml:space="preserve"> </w:t>
      </w:r>
      <w:r w:rsidR="002264F8">
        <w:t xml:space="preserve">RIG </w:t>
      </w:r>
      <w:r w:rsidR="00C85631">
        <w:t>expan</w:t>
      </w:r>
      <w:r w:rsidR="002264F8">
        <w:t>ded the Pipeline System</w:t>
      </w:r>
      <w:r w:rsidR="00DF5B0A">
        <w:t>’</w:t>
      </w:r>
      <w:r w:rsidR="002264F8">
        <w:t>s capacity</w:t>
      </w:r>
      <w:r w:rsidR="00C85631">
        <w:t xml:space="preserve"> </w:t>
      </w:r>
      <w:r w:rsidR="002264F8">
        <w:t xml:space="preserve">in anticipation of increased </w:t>
      </w:r>
      <w:r w:rsidR="00565A21">
        <w:t>natural gas produc</w:t>
      </w:r>
      <w:r w:rsidR="002264F8">
        <w:t>tion</w:t>
      </w:r>
      <w:r w:rsidR="00565A21">
        <w:t xml:space="preserve"> in the Haynesville Shale. </w:t>
      </w:r>
    </w:p>
    <w:p w14:paraId="738DD52D" w14:textId="407CE0CF" w:rsidR="004828F6" w:rsidRDefault="004828F6" w:rsidP="00FE71F3">
      <w:r>
        <w:t>RIG financed the expansion through a partnership with an equity investor, Alinda Gas Pipeline (</w:t>
      </w:r>
      <w:r w:rsidR="00DF5B0A">
        <w:t>“</w:t>
      </w:r>
      <w:r>
        <w:t>Alinda</w:t>
      </w:r>
      <w:r w:rsidR="00DF5B0A">
        <w:t>”</w:t>
      </w:r>
      <w:r>
        <w:t>).</w:t>
      </w:r>
      <w:r>
        <w:rPr>
          <w:rStyle w:val="FootnoteReference"/>
        </w:rPr>
        <w:footnoteReference w:id="11"/>
      </w:r>
      <w:r>
        <w:t xml:space="preserve"> Alinda purchased a fifty percent (50%) share in the partnership. RIG, through a wholly owned subsidiary, owned a forty-nine </w:t>
      </w:r>
      <w:r w:rsidR="00F26D20">
        <w:t>and</w:t>
      </w:r>
      <w:r>
        <w:t xml:space="preserve"> nine</w:t>
      </w:r>
      <w:r w:rsidR="00F26D20">
        <w:t xml:space="preserve"> </w:t>
      </w:r>
      <w:proofErr w:type="gramStart"/>
      <w:r w:rsidR="00F26D20">
        <w:t>tenths</w:t>
      </w:r>
      <w:proofErr w:type="gramEnd"/>
      <w:r>
        <w:t xml:space="preserve"> percent (49.9%)</w:t>
      </w:r>
      <w:r w:rsidR="00710C74">
        <w:t xml:space="preserve"> share</w:t>
      </w:r>
      <w:r>
        <w:t xml:space="preserve">. The remaining point one percent (0.1%) </w:t>
      </w:r>
      <w:r w:rsidR="00710C74">
        <w:t xml:space="preserve">share </w:t>
      </w:r>
      <w:r>
        <w:t xml:space="preserve">was owned by </w:t>
      </w:r>
      <w:r w:rsidR="00C13BC7">
        <w:t xml:space="preserve">EFS Haynesville, LLC, which was </w:t>
      </w:r>
      <w:r w:rsidR="00710C74">
        <w:t xml:space="preserve">itself </w:t>
      </w:r>
      <w:r w:rsidR="00C13BC7">
        <w:t>owned by General Electric (</w:t>
      </w:r>
      <w:r w:rsidR="00DF5B0A">
        <w:t>“</w:t>
      </w:r>
      <w:r w:rsidR="00C13BC7">
        <w:t>GE</w:t>
      </w:r>
      <w:r w:rsidR="00DF5B0A">
        <w:t>”</w:t>
      </w:r>
      <w:r w:rsidR="00C13BC7">
        <w:t>).</w:t>
      </w:r>
      <w:r w:rsidR="00A41E9B">
        <w:t xml:space="preserve"> GE</w:t>
      </w:r>
      <w:r w:rsidR="00DF5B0A">
        <w:t>’</w:t>
      </w:r>
      <w:r w:rsidR="00A41E9B">
        <w:t xml:space="preserve">s interest was later purchased </w:t>
      </w:r>
      <w:r w:rsidR="002264F8">
        <w:t xml:space="preserve">by </w:t>
      </w:r>
      <w:r w:rsidR="00A41E9B">
        <w:t>Energy Transfer Partners (</w:t>
      </w:r>
      <w:r w:rsidR="00DF5B0A">
        <w:t>“</w:t>
      </w:r>
      <w:r w:rsidR="00A41E9B">
        <w:t>ETP</w:t>
      </w:r>
      <w:r w:rsidR="00DF5B0A">
        <w:t>”</w:t>
      </w:r>
      <w:r w:rsidR="00A41E9B">
        <w:t>)</w:t>
      </w:r>
      <w:r w:rsidR="002264F8">
        <w:t>, who is now RIG</w:t>
      </w:r>
      <w:r w:rsidR="00DF5B0A">
        <w:t>’</w:t>
      </w:r>
      <w:r w:rsidR="002264F8">
        <w:t>s parent entity</w:t>
      </w:r>
      <w:r w:rsidR="00A41E9B">
        <w:t>.</w:t>
      </w:r>
      <w:r w:rsidR="00A41E9B">
        <w:rPr>
          <w:rStyle w:val="FootnoteReference"/>
        </w:rPr>
        <w:footnoteReference w:id="12"/>
      </w:r>
    </w:p>
    <w:p w14:paraId="716A97B1" w14:textId="22E023F1" w:rsidR="00C13BC7" w:rsidRDefault="00C13BC7" w:rsidP="00FE71F3">
      <w:r>
        <w:t xml:space="preserve">Prior to the expansion, RIG was debt-free. </w:t>
      </w:r>
      <w:r w:rsidR="00F26D20">
        <w:t>To</w:t>
      </w:r>
      <w:r>
        <w:t xml:space="preserve"> fund the expansion, </w:t>
      </w:r>
      <w:r w:rsidR="007213AE">
        <w:t xml:space="preserve">however, </w:t>
      </w:r>
      <w:r>
        <w:t xml:space="preserve">Alinda wanted RIG to take out loans. </w:t>
      </w:r>
      <w:r w:rsidR="003B3BCF">
        <w:t xml:space="preserve">In 2013, </w:t>
      </w:r>
      <w:r>
        <w:t xml:space="preserve">RIG </w:t>
      </w:r>
      <w:r w:rsidR="003B3BCF">
        <w:t>obtained a five hundred million dollar ($500,000,000) revolving loan from a consortium of banks. RIG immediately drew four</w:t>
      </w:r>
      <w:r w:rsidR="002264F8">
        <w:t xml:space="preserve"> </w:t>
      </w:r>
      <w:r w:rsidR="003B3BCF">
        <w:t>hundred million dollars ($400,000,000) on the loan. The loan was secured by substantially all of RIG</w:t>
      </w:r>
      <w:r w:rsidR="00DF5B0A">
        <w:t>’</w:t>
      </w:r>
      <w:r w:rsidR="003B3BCF">
        <w:t xml:space="preserve">s assets. </w:t>
      </w:r>
      <w:r w:rsidR="007213AE">
        <w:t>Thus</w:t>
      </w:r>
      <w:r w:rsidR="003B3BCF">
        <w:t xml:space="preserve">, </w:t>
      </w:r>
      <w:r w:rsidR="00F26D20">
        <w:t>because of</w:t>
      </w:r>
      <w:r w:rsidR="007213AE">
        <w:t xml:space="preserve"> financing the expansion, </w:t>
      </w:r>
      <w:r w:rsidR="003B3BCF">
        <w:t xml:space="preserve">the Pipeline System </w:t>
      </w:r>
      <w:r w:rsidR="007213AE">
        <w:t xml:space="preserve">became </w:t>
      </w:r>
      <w:r w:rsidR="003B3BCF">
        <w:t xml:space="preserve">burdened with $400,000,000 of debt. </w:t>
      </w:r>
      <w:r w:rsidR="002264F8">
        <w:t>Said</w:t>
      </w:r>
      <w:r w:rsidR="002B59E9">
        <w:t xml:space="preserve"> debt was to mature on September 10, 2018.</w:t>
      </w:r>
    </w:p>
    <w:p w14:paraId="1644BAB6" w14:textId="6D0839A2" w:rsidR="003B3BCF" w:rsidRDefault="003B3BCF" w:rsidP="00FE71F3">
      <w:r>
        <w:t>T</w:t>
      </w:r>
      <w:r w:rsidR="004828F6">
        <w:t xml:space="preserve">he anticipated additional natural gas </w:t>
      </w:r>
      <w:r w:rsidR="002264F8">
        <w:t xml:space="preserve">production </w:t>
      </w:r>
      <w:r w:rsidR="004828F6">
        <w:t xml:space="preserve">never materialized. </w:t>
      </w:r>
      <w:r w:rsidR="00C85631">
        <w:t>For the first several years after the expansion, RIG</w:t>
      </w:r>
      <w:r w:rsidR="00DF5B0A">
        <w:t>’</w:t>
      </w:r>
      <w:r w:rsidR="00C85631">
        <w:t xml:space="preserve">s bottom line was somewhat insulated from the effects of underutilization. This was because </w:t>
      </w:r>
      <w:r w:rsidR="00E6677F">
        <w:t xml:space="preserve">of </w:t>
      </w:r>
      <w:r w:rsidR="00C85631">
        <w:t>RIG</w:t>
      </w:r>
      <w:r w:rsidR="00DF5B0A">
        <w:t>’</w:t>
      </w:r>
      <w:r w:rsidR="00E6677F">
        <w:t>s pre-existing</w:t>
      </w:r>
      <w:r w:rsidR="00C85631">
        <w:t xml:space="preserve"> </w:t>
      </w:r>
      <w:r w:rsidR="00DF5B0A">
        <w:t>“</w:t>
      </w:r>
      <w:r w:rsidR="00C85631">
        <w:t>firm</w:t>
      </w:r>
      <w:r w:rsidR="00DF5B0A">
        <w:t>”</w:t>
      </w:r>
      <w:r w:rsidR="00C85631">
        <w:t xml:space="preserve"> or </w:t>
      </w:r>
      <w:r w:rsidR="00DF5B0A">
        <w:t>“</w:t>
      </w:r>
      <w:r w:rsidR="00C85631">
        <w:t>capacity</w:t>
      </w:r>
      <w:r w:rsidR="00DF5B0A">
        <w:t>”</w:t>
      </w:r>
      <w:r w:rsidR="00C85631">
        <w:t xml:space="preserve"> transportation contracts with natural gas producers in the Haynesville Shale. These </w:t>
      </w:r>
      <w:r w:rsidR="00E6677F">
        <w:t xml:space="preserve">firm </w:t>
      </w:r>
      <w:r w:rsidR="00C85631">
        <w:t xml:space="preserve">contracts guaranteed the producers a fixed amount of transportation capacity on the Pipeline System. In return, RIG </w:t>
      </w:r>
      <w:r w:rsidR="00E6677F">
        <w:t>enjoyed a</w:t>
      </w:r>
      <w:r w:rsidR="007213AE">
        <w:t xml:space="preserve"> </w:t>
      </w:r>
      <w:r w:rsidR="007213AE">
        <w:lastRenderedPageBreak/>
        <w:t>corresponding</w:t>
      </w:r>
      <w:r w:rsidR="00E6677F">
        <w:t xml:space="preserve"> revenue stream that was, in theory, </w:t>
      </w:r>
      <w:r w:rsidR="00C85631">
        <w:t xml:space="preserve">guaranteed. </w:t>
      </w:r>
      <w:proofErr w:type="gramStart"/>
      <w:r w:rsidR="00E6677F">
        <w:t>In reality</w:t>
      </w:r>
      <w:r w:rsidR="00C85631">
        <w:t>,</w:t>
      </w:r>
      <w:r w:rsidR="00E6677F">
        <w:t xml:space="preserve"> however</w:t>
      </w:r>
      <w:proofErr w:type="gramEnd"/>
      <w:r w:rsidR="00E6677F">
        <w:t>,</w:t>
      </w:r>
      <w:r w:rsidR="00C85631">
        <w:t xml:space="preserve"> several producers declared bankruptcy and renegotiated their contracts.</w:t>
      </w:r>
    </w:p>
    <w:p w14:paraId="35B4A5AC" w14:textId="7B03D988" w:rsidR="004004D4" w:rsidRDefault="003B3BCF" w:rsidP="00FE71F3">
      <w:r>
        <w:t>Other difficulties combined to worsen RIG</w:t>
      </w:r>
      <w:r w:rsidR="00DF5B0A">
        <w:t>’</w:t>
      </w:r>
      <w:r>
        <w:t xml:space="preserve">s financial outlook. RIG, an early entrant in the market, </w:t>
      </w:r>
      <w:r w:rsidR="007213AE">
        <w:t xml:space="preserve">came to </w:t>
      </w:r>
      <w:r>
        <w:t xml:space="preserve">face increased competition </w:t>
      </w:r>
      <w:r w:rsidR="007213AE">
        <w:t xml:space="preserve">over time as competing </w:t>
      </w:r>
      <w:r>
        <w:t>pipeline</w:t>
      </w:r>
      <w:r w:rsidR="00710C74">
        <w:t>s</w:t>
      </w:r>
      <w:r>
        <w:t xml:space="preserve"> expanded their operations in the Haynesville </w:t>
      </w:r>
      <w:r w:rsidR="002264F8">
        <w:t>S</w:t>
      </w:r>
      <w:r>
        <w:t xml:space="preserve">hale. Additionally, natural gas production in the </w:t>
      </w:r>
      <w:r w:rsidR="00710C74">
        <w:t>n</w:t>
      </w:r>
      <w:r>
        <w:t>ortheast</w:t>
      </w:r>
      <w:r w:rsidR="00710C74">
        <w:t>ern United States increased. RIG</w:t>
      </w:r>
      <w:r w:rsidR="00DF5B0A">
        <w:t>’</w:t>
      </w:r>
      <w:r w:rsidR="00710C74">
        <w:t xml:space="preserve">s Pipeline System moved </w:t>
      </w:r>
      <w:r w:rsidR="007213AE">
        <w:t>gas</w:t>
      </w:r>
      <w:r w:rsidR="00710C74">
        <w:t xml:space="preserve"> eastward, </w:t>
      </w:r>
      <w:r w:rsidR="007213AE" w:rsidRPr="007213AE">
        <w:rPr>
          <w:i/>
          <w:iCs/>
        </w:rPr>
        <w:t>i.e.</w:t>
      </w:r>
      <w:r w:rsidR="007213AE">
        <w:t xml:space="preserve"> </w:t>
      </w:r>
      <w:r w:rsidR="00710C74">
        <w:t xml:space="preserve">towards the </w:t>
      </w:r>
      <w:r w:rsidR="002264F8">
        <w:t xml:space="preserve">increasingly </w:t>
      </w:r>
      <w:r w:rsidR="00710C74">
        <w:t xml:space="preserve">saturated northeastern </w:t>
      </w:r>
      <w:r>
        <w:t>market. Also, some</w:t>
      </w:r>
      <w:r w:rsidR="007213AE">
        <w:t xml:space="preserve"> of</w:t>
      </w:r>
      <w:r>
        <w:t xml:space="preserve"> RIG</w:t>
      </w:r>
      <w:r w:rsidR="00DF5B0A">
        <w:t>’</w:t>
      </w:r>
      <w:r>
        <w:t xml:space="preserve">s customers who remained viable were able to obtain cheaper prices from competitors. </w:t>
      </w:r>
      <w:r w:rsidR="002264F8">
        <w:t xml:space="preserve">RIG was </w:t>
      </w:r>
      <w:r w:rsidR="007213AE">
        <w:t xml:space="preserve">further </w:t>
      </w:r>
      <w:r w:rsidR="002264F8">
        <w:t xml:space="preserve">unable to offer competitive rates because of </w:t>
      </w:r>
      <w:r w:rsidR="00DF5B0A">
        <w:t>“</w:t>
      </w:r>
      <w:r w:rsidR="002264F8">
        <w:t>most favored nation</w:t>
      </w:r>
      <w:r w:rsidR="00DF5B0A">
        <w:t>”</w:t>
      </w:r>
      <w:r w:rsidR="002264F8">
        <w:t xml:space="preserve"> provisions in its firm contracts. These provisions obligated RIG to </w:t>
      </w:r>
      <w:r w:rsidR="00554E9B">
        <w:t xml:space="preserve">lower </w:t>
      </w:r>
      <w:r w:rsidR="002264F8">
        <w:t xml:space="preserve">rates for favored customers </w:t>
      </w:r>
      <w:r w:rsidR="00554E9B">
        <w:t xml:space="preserve">to match the lowest rates RIG </w:t>
      </w:r>
      <w:r w:rsidR="00736BA2">
        <w:t>contracted</w:t>
      </w:r>
      <w:r w:rsidR="00554E9B">
        <w:t xml:space="preserve"> </w:t>
      </w:r>
      <w:r w:rsidR="002264F8">
        <w:t>to any customer.</w:t>
      </w:r>
    </w:p>
    <w:p w14:paraId="081F3C67" w14:textId="3A7EC829" w:rsidR="002B59E9" w:rsidRDefault="00554E9B" w:rsidP="00FE71F3">
      <w:r>
        <w:t>Eventually,</w:t>
      </w:r>
      <w:r w:rsidR="003B3BCF">
        <w:t xml:space="preserve"> RIG </w:t>
      </w:r>
      <w:r w:rsidR="002B59E9">
        <w:t>determined</w:t>
      </w:r>
      <w:r w:rsidR="003B3BCF">
        <w:t xml:space="preserve"> that it could no longer make distributions to Alinda. </w:t>
      </w:r>
      <w:r w:rsidR="002B59E9">
        <w:t xml:space="preserve">This prompted </w:t>
      </w:r>
      <w:r w:rsidR="003B3BCF">
        <w:t xml:space="preserve">Alinda to </w:t>
      </w:r>
      <w:r w:rsidR="002B59E9">
        <w:t xml:space="preserve">seek an </w:t>
      </w:r>
      <w:r w:rsidR="003B3BCF">
        <w:t xml:space="preserve">exit </w:t>
      </w:r>
      <w:r w:rsidR="002B59E9">
        <w:t xml:space="preserve">from </w:t>
      </w:r>
      <w:r w:rsidR="003B3BCF">
        <w:t>the partnership.</w:t>
      </w:r>
      <w:r w:rsidR="004004D4">
        <w:t xml:space="preserve"> Beginning in 2015, Alinda searched for someone to buy out their </w:t>
      </w:r>
      <w:r w:rsidR="002B59E9">
        <w:t>interest</w:t>
      </w:r>
      <w:r w:rsidR="004004D4">
        <w:t>.</w:t>
      </w:r>
      <w:r w:rsidR="002B59E9">
        <w:t xml:space="preserve"> Alinda did not find an external buyer. I</w:t>
      </w:r>
      <w:r w:rsidR="00E6677F">
        <w:t xml:space="preserve">n April 2018, Alinda sold its </w:t>
      </w:r>
      <w:r w:rsidR="00736BA2">
        <w:t xml:space="preserve">interest </w:t>
      </w:r>
      <w:r w:rsidR="00E6677F">
        <w:t>to Regency Haynesville Intrastate Gas LLC</w:t>
      </w:r>
      <w:r w:rsidR="004004D4">
        <w:t xml:space="preserve"> (</w:t>
      </w:r>
      <w:r w:rsidR="00DF5B0A">
        <w:t>“</w:t>
      </w:r>
      <w:r w:rsidR="004004D4">
        <w:t>RHIG</w:t>
      </w:r>
      <w:r w:rsidR="00DF5B0A">
        <w:t>”</w:t>
      </w:r>
      <w:r w:rsidR="004004D4">
        <w:t>)</w:t>
      </w:r>
      <w:r w:rsidR="00B14613">
        <w:t xml:space="preserve">, </w:t>
      </w:r>
      <w:r>
        <w:t xml:space="preserve">which was </w:t>
      </w:r>
      <w:r w:rsidR="00B14613">
        <w:t>owned by ETP</w:t>
      </w:r>
      <w:r>
        <w:t xml:space="preserve"> (RIG</w:t>
      </w:r>
      <w:r w:rsidR="00DF5B0A">
        <w:t>’</w:t>
      </w:r>
      <w:r>
        <w:t>s parent entity)</w:t>
      </w:r>
      <w:r w:rsidR="00736BA2" w:rsidRPr="00736BA2">
        <w:t xml:space="preserve"> </w:t>
      </w:r>
      <w:r w:rsidR="00736BA2">
        <w:t>(“Alinda Sale”)</w:t>
      </w:r>
      <w:r w:rsidR="00B14613">
        <w:t>.</w:t>
      </w:r>
      <w:r w:rsidR="00C44046">
        <w:rPr>
          <w:rStyle w:val="FootnoteReference"/>
        </w:rPr>
        <w:footnoteReference w:id="13"/>
      </w:r>
      <w:r w:rsidR="00B14613">
        <w:t xml:space="preserve"> </w:t>
      </w:r>
      <w:r w:rsidR="00736BA2">
        <w:t>In return</w:t>
      </w:r>
      <w:r w:rsidR="00B14613">
        <w:t>, Alinda received</w:t>
      </w:r>
      <w:r w:rsidR="002B59E9">
        <w:t xml:space="preserve"> twenty-five million dollars ($25,000,000), </w:t>
      </w:r>
      <w:r w:rsidR="004004D4">
        <w:t xml:space="preserve">plus </w:t>
      </w:r>
      <w:r>
        <w:t>RHIG</w:t>
      </w:r>
      <w:r w:rsidR="00DF5B0A">
        <w:t>’</w:t>
      </w:r>
      <w:r>
        <w:t>s</w:t>
      </w:r>
      <w:r w:rsidR="004004D4">
        <w:t xml:space="preserve"> assumption of </w:t>
      </w:r>
      <w:r>
        <w:t>Alinda</w:t>
      </w:r>
      <w:r w:rsidR="00DF5B0A">
        <w:t>’</w:t>
      </w:r>
      <w:r>
        <w:t xml:space="preserve">s </w:t>
      </w:r>
      <w:r w:rsidR="004004D4">
        <w:t>share of the debt</w:t>
      </w:r>
      <w:r w:rsidR="00E6677F">
        <w:t>.</w:t>
      </w:r>
      <w:r w:rsidR="002B59E9">
        <w:t xml:space="preserve"> </w:t>
      </w:r>
      <w:r>
        <w:t xml:space="preserve">The </w:t>
      </w:r>
      <w:r w:rsidR="002B59E9">
        <w:t xml:space="preserve">amount of debt </w:t>
      </w:r>
      <w:r w:rsidR="00736BA2">
        <w:t xml:space="preserve">thereby </w:t>
      </w:r>
      <w:r w:rsidR="002B59E9">
        <w:t>assumed was approximately two hundred and thirty-seven million dollars ($237,000,000).</w:t>
      </w:r>
      <w:r w:rsidR="004004D4">
        <w:t xml:space="preserve"> </w:t>
      </w:r>
      <w:r w:rsidR="002B59E9">
        <w:t xml:space="preserve">ETP paid off </w:t>
      </w:r>
      <w:r w:rsidR="00B14613">
        <w:t xml:space="preserve">and refinanced the entire debt </w:t>
      </w:r>
      <w:r w:rsidR="002B59E9">
        <w:t>at the parent level, using a five billion dollar ($5,000,000,000) revolving line of credit.</w:t>
      </w:r>
    </w:p>
    <w:p w14:paraId="4F8534A4" w14:textId="3EF8200E" w:rsidR="00B14613" w:rsidRDefault="00B14613" w:rsidP="00FE71F3">
      <w:r>
        <w:t>ETP</w:t>
      </w:r>
      <w:r w:rsidR="00DF5B0A">
        <w:t>’</w:t>
      </w:r>
      <w:r>
        <w:t xml:space="preserve">s </w:t>
      </w:r>
      <w:r w:rsidR="00736BA2">
        <w:t xml:space="preserve">acquisition and subsequent refinancing </w:t>
      </w:r>
      <w:r>
        <w:t>resolved the debt issue</w:t>
      </w:r>
      <w:r w:rsidR="00554E9B">
        <w:t xml:space="preserve"> and consolidated ownership and control of the Pipeline System</w:t>
      </w:r>
      <w:r>
        <w:t xml:space="preserve">. However, RIG was still faced with the </w:t>
      </w:r>
      <w:r w:rsidR="00710C74">
        <w:t xml:space="preserve">looming expiration of </w:t>
      </w:r>
      <w:r>
        <w:t xml:space="preserve">its firm contracts in 2020. Beginning in 2019, </w:t>
      </w:r>
      <w:r w:rsidR="004004D4">
        <w:t xml:space="preserve">RIG sought to </w:t>
      </w:r>
      <w:r w:rsidR="00736BA2">
        <w:t xml:space="preserve">improve its outlook by attempting to </w:t>
      </w:r>
      <w:r w:rsidR="00DF5B0A">
        <w:t>“</w:t>
      </w:r>
      <w:r w:rsidR="004004D4">
        <w:t>blend and extend</w:t>
      </w:r>
      <w:r w:rsidR="00DF5B0A">
        <w:t>”</w:t>
      </w:r>
      <w:r w:rsidR="004004D4">
        <w:t xml:space="preserve"> its firm </w:t>
      </w:r>
      <w:r w:rsidR="004004D4">
        <w:lastRenderedPageBreak/>
        <w:t xml:space="preserve">contracts. </w:t>
      </w:r>
      <w:r w:rsidR="00736BA2">
        <w:t xml:space="preserve">For this purpose, </w:t>
      </w:r>
      <w:r w:rsidR="00DF5B0A">
        <w:t>“</w:t>
      </w:r>
      <w:r w:rsidR="00736BA2">
        <w:t>b</w:t>
      </w:r>
      <w:r w:rsidR="00710C74">
        <w:t>lend and extend</w:t>
      </w:r>
      <w:r w:rsidR="00DF5B0A">
        <w:t>”</w:t>
      </w:r>
      <w:r w:rsidR="00710C74">
        <w:t xml:space="preserve"> </w:t>
      </w:r>
      <w:r w:rsidR="00736BA2">
        <w:t xml:space="preserve">meant </w:t>
      </w:r>
      <w:r w:rsidR="004004D4">
        <w:t xml:space="preserve">reducing the </w:t>
      </w:r>
      <w:r>
        <w:t>rate</w:t>
      </w:r>
      <w:r w:rsidR="00710C74">
        <w:t xml:space="preserve"> charged</w:t>
      </w:r>
      <w:r>
        <w:t xml:space="preserve"> and </w:t>
      </w:r>
      <w:r w:rsidR="00710C74">
        <w:t xml:space="preserve">the </w:t>
      </w:r>
      <w:r w:rsidR="00736BA2">
        <w:t xml:space="preserve">required </w:t>
      </w:r>
      <w:r>
        <w:t xml:space="preserve">throughput </w:t>
      </w:r>
      <w:r w:rsidR="004004D4">
        <w:t>volume</w:t>
      </w:r>
      <w:r w:rsidR="00736BA2">
        <w:t xml:space="preserve"> while extending </w:t>
      </w:r>
      <w:r w:rsidR="004004D4">
        <w:t xml:space="preserve">the term of the contract. </w:t>
      </w:r>
    </w:p>
    <w:p w14:paraId="7DACC803" w14:textId="34BD83C6" w:rsidR="004004D4" w:rsidRDefault="00736BA2" w:rsidP="00FE71F3">
      <w:r>
        <w:t>O</w:t>
      </w:r>
      <w:r w:rsidR="00B14613">
        <w:t xml:space="preserve">nly three of </w:t>
      </w:r>
      <w:r w:rsidR="004004D4">
        <w:t>RIG</w:t>
      </w:r>
      <w:r w:rsidR="00DF5B0A">
        <w:t>’</w:t>
      </w:r>
      <w:r w:rsidR="004004D4">
        <w:t xml:space="preserve">s customers </w:t>
      </w:r>
      <w:r w:rsidR="00B14613">
        <w:t xml:space="preserve">agreed to </w:t>
      </w:r>
      <w:proofErr w:type="gramStart"/>
      <w:r w:rsidR="00B14613">
        <w:t>blend</w:t>
      </w:r>
      <w:proofErr w:type="gramEnd"/>
      <w:r w:rsidR="00B14613">
        <w:t xml:space="preserve"> and extend their contracts</w:t>
      </w:r>
      <w:r w:rsidR="004004D4">
        <w:t>.</w:t>
      </w:r>
      <w:r w:rsidR="00B14613">
        <w:t xml:space="preserve"> The resulting reduction in rates for these customers was about fifty percent (50%). Other customers did not renew their firm contracts.</w:t>
      </w:r>
      <w:r w:rsidR="00C44046">
        <w:t xml:space="preserve"> Although RIG was able to obtain some new business by lowering its rates, t</w:t>
      </w:r>
      <w:r w:rsidR="00B14613">
        <w:t xml:space="preserve">he </w:t>
      </w:r>
      <w:r w:rsidR="00C44046">
        <w:t xml:space="preserve">overall </w:t>
      </w:r>
      <w:r w:rsidR="00B14613">
        <w:t xml:space="preserve">reduction in </w:t>
      </w:r>
      <w:r w:rsidR="00C44046">
        <w:t xml:space="preserve">throughput </w:t>
      </w:r>
      <w:r w:rsidR="00B14613">
        <w:t>meant that</w:t>
      </w:r>
      <w:r w:rsidR="00C44046">
        <w:t>,</w:t>
      </w:r>
      <w:r w:rsidR="00B14613">
        <w:t xml:space="preserve"> through 2021, the Pipeline System never operated at more than forty-one percent (41%) capacity.</w:t>
      </w:r>
    </w:p>
    <w:p w14:paraId="14F43A2D" w14:textId="11B8A07A" w:rsidR="00554E9B" w:rsidRDefault="0011795E" w:rsidP="00FE71F3">
      <w:r>
        <w:t xml:space="preserve">For the </w:t>
      </w:r>
      <w:r w:rsidR="00554E9B">
        <w:t>T</w:t>
      </w:r>
      <w:r>
        <w:t xml:space="preserve">ax </w:t>
      </w:r>
      <w:r w:rsidR="00554E9B">
        <w:t>Y</w:t>
      </w:r>
      <w:r>
        <w:t xml:space="preserve">ears at issue in these consolidated matters (2019 through 2023), RIG </w:t>
      </w:r>
      <w:r w:rsidR="00736BA2">
        <w:t>seeks</w:t>
      </w:r>
      <w:r>
        <w:t xml:space="preserve"> </w:t>
      </w:r>
      <w:r w:rsidR="00736BA2">
        <w:t xml:space="preserve">a reduction in the </w:t>
      </w:r>
      <w:r w:rsidR="00CF7C10">
        <w:t xml:space="preserve">FMV </w:t>
      </w:r>
      <w:r w:rsidR="00736BA2">
        <w:t xml:space="preserve">of its Property for </w:t>
      </w:r>
      <w:r w:rsidR="00CF7C10">
        <w:t xml:space="preserve">economic obsolescence. </w:t>
      </w:r>
      <w:r w:rsidR="00554E9B">
        <w:t xml:space="preserve">To calculate the amount of the reduction, </w:t>
      </w:r>
      <w:r w:rsidR="00CF7C10">
        <w:t xml:space="preserve">RIG relies on two alternative valuation approaches. </w:t>
      </w:r>
      <w:r w:rsidR="00554E9B">
        <w:t>Of these two approaches, t</w:t>
      </w:r>
      <w:r w:rsidR="00CF7C10">
        <w:t xml:space="preserve">he present dispute </w:t>
      </w:r>
      <w:r w:rsidR="00554E9B">
        <w:t>primarily concerns</w:t>
      </w:r>
      <w:r w:rsidR="00CF7C10">
        <w:t xml:space="preserve"> RIG</w:t>
      </w:r>
      <w:r w:rsidR="00DF5B0A">
        <w:t>’</w:t>
      </w:r>
      <w:r w:rsidR="00CF7C10">
        <w:t>s income approach. RIG</w:t>
      </w:r>
      <w:r w:rsidR="00DF5B0A">
        <w:t>’</w:t>
      </w:r>
      <w:r w:rsidR="00CF7C10">
        <w:t xml:space="preserve">s income approach is based on a business enterprise </w:t>
      </w:r>
      <w:r w:rsidR="00736BA2">
        <w:t xml:space="preserve">appraisal of its entire business, </w:t>
      </w:r>
      <w:r w:rsidR="00736BA2" w:rsidRPr="00736BA2">
        <w:rPr>
          <w:i/>
          <w:iCs/>
        </w:rPr>
        <w:t>i.e.</w:t>
      </w:r>
      <w:r w:rsidR="00736BA2">
        <w:t xml:space="preserve"> </w:t>
      </w:r>
      <w:r w:rsidR="00CF7C10">
        <w:t xml:space="preserve">the projected </w:t>
      </w:r>
      <w:r w:rsidR="00736BA2">
        <w:t xml:space="preserve">revenues from </w:t>
      </w:r>
      <w:r w:rsidR="00CF7C10">
        <w:t>the Pipeline System as a whole</w:t>
      </w:r>
      <w:r w:rsidR="00193FD1">
        <w:t xml:space="preserve">. </w:t>
      </w:r>
    </w:p>
    <w:p w14:paraId="4E616FB5" w14:textId="349C5AF7" w:rsidR="00CF7C10" w:rsidRDefault="00CF7C10" w:rsidP="00FE71F3">
      <w:r>
        <w:t>RIG</w:t>
      </w:r>
      <w:r w:rsidR="00DF5B0A">
        <w:t>’</w:t>
      </w:r>
      <w:r>
        <w:t>s second approach is a market approach. RIG</w:t>
      </w:r>
      <w:r w:rsidR="00DF5B0A">
        <w:t>’</w:t>
      </w:r>
      <w:r>
        <w:t xml:space="preserve">s market approach relies on data from the </w:t>
      </w:r>
      <w:r w:rsidR="000C04B7">
        <w:t>Alinda Sale</w:t>
      </w:r>
      <w:r>
        <w:t xml:space="preserve">. </w:t>
      </w:r>
      <w:r w:rsidR="00554E9B">
        <w:t xml:space="preserve">RIG relied </w:t>
      </w:r>
      <w:r w:rsidR="00EF3784">
        <w:t xml:space="preserve">in part </w:t>
      </w:r>
      <w:r w:rsidR="00554E9B">
        <w:t xml:space="preserve">on </w:t>
      </w:r>
      <w:r w:rsidR="00736BA2">
        <w:t xml:space="preserve">this </w:t>
      </w:r>
      <w:r w:rsidR="00554E9B">
        <w:t xml:space="preserve">market approach in its dispute for the 2018 tax year, </w:t>
      </w:r>
      <w:r w:rsidR="00736BA2">
        <w:t xml:space="preserve">though that tax year is </w:t>
      </w:r>
      <w:r w:rsidR="00554E9B">
        <w:t xml:space="preserve">not at issue here. </w:t>
      </w:r>
      <w:r w:rsidR="00736BA2">
        <w:t xml:space="preserve">For the 2018 tax year, </w:t>
      </w:r>
      <w:proofErr w:type="gramStart"/>
      <w:r w:rsidR="00736BA2">
        <w:t>t</w:t>
      </w:r>
      <w:r>
        <w:t>he LTC</w:t>
      </w:r>
      <w:proofErr w:type="gramEnd"/>
      <w:r>
        <w:t xml:space="preserve"> rejected </w:t>
      </w:r>
      <w:r w:rsidR="00736BA2">
        <w:t xml:space="preserve">RIG’s </w:t>
      </w:r>
      <w:r w:rsidR="00554E9B">
        <w:t xml:space="preserve">market </w:t>
      </w:r>
      <w:r w:rsidR="00736BA2">
        <w:t>approach.</w:t>
      </w:r>
      <w:r w:rsidR="00554E9B">
        <w:t xml:space="preserve"> </w:t>
      </w:r>
      <w:r w:rsidR="00736BA2">
        <w:t>T</w:t>
      </w:r>
      <w:r w:rsidR="00554E9B">
        <w:t>hat decision was ultimately affirmed on appeal.</w:t>
      </w:r>
      <w:r w:rsidR="00EF3784">
        <w:rPr>
          <w:rStyle w:val="FootnoteReference"/>
        </w:rPr>
        <w:footnoteReference w:id="14"/>
      </w:r>
      <w:r w:rsidR="00554E9B">
        <w:t xml:space="preserve"> </w:t>
      </w:r>
      <w:r w:rsidR="00736BA2">
        <w:t>T</w:t>
      </w:r>
      <w:r w:rsidR="00554E9B">
        <w:t xml:space="preserve">he LTC </w:t>
      </w:r>
      <w:r w:rsidR="00736BA2">
        <w:t xml:space="preserve">also </w:t>
      </w:r>
      <w:r w:rsidR="00554E9B">
        <w:t xml:space="preserve">rejected </w:t>
      </w:r>
      <w:r w:rsidR="00EF3784">
        <w:t>RIG</w:t>
      </w:r>
      <w:r w:rsidR="00DF5B0A">
        <w:t>’</w:t>
      </w:r>
      <w:r w:rsidR="00EF3784">
        <w:t xml:space="preserve">s market approach </w:t>
      </w:r>
      <w:r w:rsidR="00736BA2">
        <w:t xml:space="preserve">for the 2019 tax year, as well as RIG’s </w:t>
      </w:r>
      <w:r w:rsidR="00EF3784">
        <w:t xml:space="preserve">income </w:t>
      </w:r>
      <w:r>
        <w:t>approach</w:t>
      </w:r>
      <w:r w:rsidR="000C04B7">
        <w:t>. However,</w:t>
      </w:r>
      <w:r>
        <w:t xml:space="preserve"> </w:t>
      </w:r>
      <w:r w:rsidR="000C04B7">
        <w:t xml:space="preserve">the LTC </w:t>
      </w:r>
      <w:r w:rsidR="00554E9B">
        <w:t>accepted</w:t>
      </w:r>
      <w:r w:rsidR="00EF3784">
        <w:t xml:space="preserve"> </w:t>
      </w:r>
      <w:r w:rsidR="000C04B7">
        <w:t>RIG</w:t>
      </w:r>
      <w:r w:rsidR="00DF5B0A">
        <w:t>’</w:t>
      </w:r>
      <w:r w:rsidR="000C04B7">
        <w:t xml:space="preserve">s </w:t>
      </w:r>
      <w:r>
        <w:t xml:space="preserve">income approach </w:t>
      </w:r>
      <w:r w:rsidR="000C04B7">
        <w:t xml:space="preserve">to calculating economic obsolescence for the years </w:t>
      </w:r>
      <w:r>
        <w:t>2020 through 2023</w:t>
      </w:r>
      <w:r w:rsidR="00736BA2">
        <w:t xml:space="preserve"> </w:t>
      </w:r>
      <w:r w:rsidR="00F26D20">
        <w:t>and</w:t>
      </w:r>
      <w:r w:rsidR="00736BA2">
        <w:t xml:space="preserve"> found that RIG’s market approach provided corroborative support for RIG’s claims for economic obsolescence reductions.</w:t>
      </w:r>
    </w:p>
    <w:p w14:paraId="776EF220" w14:textId="4509794D" w:rsidR="00CF7C10" w:rsidRDefault="00193FD1" w:rsidP="00FE71F3">
      <w:r>
        <w:t>RIG</w:t>
      </w:r>
      <w:r w:rsidR="00DF5B0A">
        <w:t>’</w:t>
      </w:r>
      <w:r>
        <w:t xml:space="preserve">s income approach </w:t>
      </w:r>
      <w:r w:rsidR="00736BA2">
        <w:t>i</w:t>
      </w:r>
      <w:r>
        <w:t xml:space="preserve">s based </w:t>
      </w:r>
      <w:r w:rsidR="00CF7C10">
        <w:t>on a</w:t>
      </w:r>
      <w:r w:rsidR="000C04B7">
        <w:t>n appraisal</w:t>
      </w:r>
      <w:r w:rsidR="00CF7C10">
        <w:t xml:space="preserve"> performed by Patricia Cartwright with Arthur </w:t>
      </w:r>
      <w:r w:rsidR="0042211A">
        <w:t xml:space="preserve">Financial </w:t>
      </w:r>
      <w:r w:rsidR="00CF7C10">
        <w:t>Services</w:t>
      </w:r>
      <w:r w:rsidR="0048543B">
        <w:t>, LLC</w:t>
      </w:r>
      <w:r w:rsidR="00CF7C10">
        <w:t>.</w:t>
      </w:r>
      <w:r>
        <w:t xml:space="preserve"> Ms. Cartwright testified that </w:t>
      </w:r>
      <w:r w:rsidR="0048543B">
        <w:t xml:space="preserve">her appraisal </w:t>
      </w:r>
      <w:r w:rsidR="0042211A">
        <w:t xml:space="preserve">determined </w:t>
      </w:r>
      <w:r w:rsidR="0048543B">
        <w:t xml:space="preserve">RIG’s </w:t>
      </w:r>
      <w:r>
        <w:t>business enterprise value</w:t>
      </w:r>
      <w:r w:rsidR="0048543B">
        <w:t>, which</w:t>
      </w:r>
      <w:r>
        <w:t xml:space="preserve"> </w:t>
      </w:r>
      <w:r w:rsidR="0042211A">
        <w:t xml:space="preserve">included </w:t>
      </w:r>
      <w:r w:rsidR="0048543B">
        <w:t xml:space="preserve">the value of </w:t>
      </w:r>
      <w:r>
        <w:t>all tangible and intangible assets and net working capital.</w:t>
      </w:r>
      <w:r w:rsidR="001666D1">
        <w:t xml:space="preserve"> Ms. Cartwright reviewed </w:t>
      </w:r>
      <w:r w:rsidR="001666D1">
        <w:lastRenderedPageBreak/>
        <w:t>RIG</w:t>
      </w:r>
      <w:r w:rsidR="00DF5B0A">
        <w:t>’</w:t>
      </w:r>
      <w:r w:rsidR="001666D1">
        <w:t>s income statements</w:t>
      </w:r>
      <w:r w:rsidR="00F229B5">
        <w:t xml:space="preserve">, </w:t>
      </w:r>
      <w:r w:rsidR="001666D1">
        <w:t xml:space="preserve">internal financials </w:t>
      </w:r>
      <w:r w:rsidR="00F229B5">
        <w:t xml:space="preserve">and balance sheets </w:t>
      </w:r>
      <w:r w:rsidR="001666D1">
        <w:t>in the context of external conditions like market volatility, debt, and investor confidence.</w:t>
      </w:r>
    </w:p>
    <w:p w14:paraId="035BE16F" w14:textId="5BF92728" w:rsidR="005B2CD6" w:rsidRDefault="0095504D" w:rsidP="00FE71F3">
      <w:r>
        <w:t>RIG</w:t>
      </w:r>
      <w:r w:rsidR="0048543B">
        <w:t xml:space="preserve"> argues for an economic obsolescence reduction based on the difference between the </w:t>
      </w:r>
      <w:r>
        <w:t xml:space="preserve">total business enterprise value </w:t>
      </w:r>
      <w:r w:rsidR="0048543B">
        <w:t xml:space="preserve">and </w:t>
      </w:r>
      <w:r>
        <w:t>the Pipeline System</w:t>
      </w:r>
      <w:r w:rsidR="00DF5B0A">
        <w:t>’</w:t>
      </w:r>
      <w:r>
        <w:t xml:space="preserve">s total assessed value. </w:t>
      </w:r>
      <w:r w:rsidR="0048543B">
        <w:t xml:space="preserve">To calculate this reduction, RIG divides the former value by the latter and then </w:t>
      </w:r>
      <w:r>
        <w:t>subtract</w:t>
      </w:r>
      <w:r w:rsidR="0048543B">
        <w:t>s</w:t>
      </w:r>
      <w:r>
        <w:t xml:space="preserve"> the quotient from one</w:t>
      </w:r>
      <w:r w:rsidR="0048543B">
        <w:t>. The resulting difference</w:t>
      </w:r>
      <w:r>
        <w:t xml:space="preserve"> </w:t>
      </w:r>
      <w:r w:rsidR="0048543B">
        <w:t xml:space="preserve">is </w:t>
      </w:r>
      <w:r>
        <w:t xml:space="preserve">expressed as a percentage. </w:t>
      </w:r>
      <w:r w:rsidR="0048543B">
        <w:t>Accordingly, for</w:t>
      </w:r>
      <w:r w:rsidR="002C18B0">
        <w:t xml:space="preserve"> each year, </w:t>
      </w:r>
      <w:r w:rsidR="00B91BA9">
        <w:t>RIG</w:t>
      </w:r>
      <w:r w:rsidR="000C04B7">
        <w:t xml:space="preserve"> </w:t>
      </w:r>
      <w:r w:rsidR="00B91BA9">
        <w:t xml:space="preserve">applied </w:t>
      </w:r>
      <w:r w:rsidR="002C18B0">
        <w:t>the same</w:t>
      </w:r>
      <w:r w:rsidR="00B91BA9">
        <w:t xml:space="preserve"> percentage reduction to </w:t>
      </w:r>
      <w:r w:rsidR="002C18B0">
        <w:t xml:space="preserve">every </w:t>
      </w:r>
      <w:r w:rsidR="00B91BA9">
        <w:t>parish</w:t>
      </w:r>
      <w:r w:rsidR="006D3BE5">
        <w:t xml:space="preserve"> as follows:</w:t>
      </w:r>
      <w:r w:rsidR="006D3BE5">
        <w:rPr>
          <w:rStyle w:val="FootnoteReference"/>
        </w:rPr>
        <w:footnoteReference w:id="15"/>
      </w:r>
      <w:r w:rsidR="005B2CD6">
        <w:br w:type="page"/>
      </w:r>
    </w:p>
    <w:tbl>
      <w:tblPr>
        <w:tblStyle w:val="TableGrid"/>
        <w:tblW w:w="0" w:type="auto"/>
        <w:tblCellMar>
          <w:left w:w="29" w:type="dxa"/>
          <w:right w:w="14" w:type="dxa"/>
        </w:tblCellMar>
        <w:tblLook w:val="04A0" w:firstRow="1" w:lastRow="0" w:firstColumn="1" w:lastColumn="0" w:noHBand="0" w:noVBand="1"/>
      </w:tblPr>
      <w:tblGrid>
        <w:gridCol w:w="1678"/>
        <w:gridCol w:w="1506"/>
        <w:gridCol w:w="1618"/>
        <w:gridCol w:w="1484"/>
        <w:gridCol w:w="1539"/>
        <w:gridCol w:w="1525"/>
      </w:tblGrid>
      <w:tr w:rsidR="002E7CA1" w:rsidRPr="002E7CA1" w14:paraId="008EE0DA" w14:textId="77777777" w:rsidTr="002E7CA1">
        <w:trPr>
          <w:trHeight w:val="300"/>
        </w:trPr>
        <w:tc>
          <w:tcPr>
            <w:tcW w:w="1678" w:type="dxa"/>
            <w:noWrap/>
            <w:hideMark/>
          </w:tcPr>
          <w:p w14:paraId="7464484D" w14:textId="77777777" w:rsidR="00723BDE" w:rsidRPr="002E7CA1" w:rsidRDefault="00723BDE" w:rsidP="005B2CD6">
            <w:pPr>
              <w:spacing w:before="240"/>
              <w:ind w:firstLine="0"/>
              <w:rPr>
                <w:rFonts w:ascii="Calibri" w:hAnsi="Calibri" w:cs="Calibri"/>
                <w:b/>
                <w:bCs/>
                <w:sz w:val="24"/>
                <w:szCs w:val="24"/>
              </w:rPr>
            </w:pPr>
            <w:r w:rsidRPr="002E7CA1">
              <w:rPr>
                <w:rFonts w:ascii="Calibri" w:hAnsi="Calibri" w:cs="Calibri"/>
                <w:b/>
                <w:bCs/>
                <w:sz w:val="24"/>
                <w:szCs w:val="24"/>
              </w:rPr>
              <w:t>Pipeline System</w:t>
            </w:r>
          </w:p>
        </w:tc>
        <w:tc>
          <w:tcPr>
            <w:tcW w:w="1506" w:type="dxa"/>
            <w:noWrap/>
            <w:hideMark/>
          </w:tcPr>
          <w:p w14:paraId="4636A836" w14:textId="77777777" w:rsidR="00723BDE" w:rsidRPr="002E7CA1" w:rsidRDefault="00723BDE" w:rsidP="005B2CD6">
            <w:pPr>
              <w:spacing w:before="240"/>
              <w:ind w:firstLine="0"/>
              <w:rPr>
                <w:rFonts w:ascii="Calibri" w:hAnsi="Calibri" w:cs="Calibri"/>
                <w:b/>
                <w:bCs/>
                <w:sz w:val="24"/>
                <w:szCs w:val="24"/>
              </w:rPr>
            </w:pPr>
            <w:r w:rsidRPr="002E7CA1">
              <w:rPr>
                <w:rFonts w:ascii="Calibri" w:hAnsi="Calibri" w:cs="Calibri"/>
                <w:b/>
                <w:bCs/>
                <w:sz w:val="24"/>
                <w:szCs w:val="24"/>
              </w:rPr>
              <w:t>2019</w:t>
            </w:r>
          </w:p>
        </w:tc>
        <w:tc>
          <w:tcPr>
            <w:tcW w:w="1618" w:type="dxa"/>
            <w:noWrap/>
            <w:hideMark/>
          </w:tcPr>
          <w:p w14:paraId="39DFEB5F" w14:textId="77777777" w:rsidR="00723BDE" w:rsidRPr="002E7CA1" w:rsidRDefault="00723BDE" w:rsidP="005B2CD6">
            <w:pPr>
              <w:spacing w:before="240"/>
              <w:ind w:firstLine="0"/>
              <w:rPr>
                <w:rFonts w:ascii="Calibri" w:hAnsi="Calibri" w:cs="Calibri"/>
                <w:b/>
                <w:bCs/>
                <w:sz w:val="24"/>
                <w:szCs w:val="24"/>
              </w:rPr>
            </w:pPr>
            <w:r w:rsidRPr="002E7CA1">
              <w:rPr>
                <w:rFonts w:ascii="Calibri" w:hAnsi="Calibri" w:cs="Calibri"/>
                <w:b/>
                <w:bCs/>
                <w:sz w:val="24"/>
                <w:szCs w:val="24"/>
              </w:rPr>
              <w:t>2020</w:t>
            </w:r>
          </w:p>
        </w:tc>
        <w:tc>
          <w:tcPr>
            <w:tcW w:w="1484" w:type="dxa"/>
            <w:noWrap/>
            <w:hideMark/>
          </w:tcPr>
          <w:p w14:paraId="5E55677D" w14:textId="77777777" w:rsidR="00723BDE" w:rsidRPr="002E7CA1" w:rsidRDefault="00723BDE" w:rsidP="005B2CD6">
            <w:pPr>
              <w:spacing w:before="240"/>
              <w:ind w:firstLine="0"/>
              <w:rPr>
                <w:rFonts w:ascii="Calibri" w:hAnsi="Calibri" w:cs="Calibri"/>
                <w:b/>
                <w:bCs/>
                <w:sz w:val="24"/>
                <w:szCs w:val="24"/>
              </w:rPr>
            </w:pPr>
            <w:r w:rsidRPr="002E7CA1">
              <w:rPr>
                <w:rFonts w:ascii="Calibri" w:hAnsi="Calibri" w:cs="Calibri"/>
                <w:b/>
                <w:bCs/>
                <w:sz w:val="24"/>
                <w:szCs w:val="24"/>
              </w:rPr>
              <w:t>2021</w:t>
            </w:r>
          </w:p>
        </w:tc>
        <w:tc>
          <w:tcPr>
            <w:tcW w:w="1539" w:type="dxa"/>
            <w:noWrap/>
            <w:hideMark/>
          </w:tcPr>
          <w:p w14:paraId="0D70074C" w14:textId="77777777" w:rsidR="00723BDE" w:rsidRPr="002E7CA1" w:rsidRDefault="00723BDE" w:rsidP="005B2CD6">
            <w:pPr>
              <w:spacing w:before="240"/>
              <w:ind w:firstLine="0"/>
              <w:rPr>
                <w:rFonts w:ascii="Calibri" w:hAnsi="Calibri" w:cs="Calibri"/>
                <w:b/>
                <w:bCs/>
                <w:sz w:val="24"/>
                <w:szCs w:val="24"/>
              </w:rPr>
            </w:pPr>
            <w:r w:rsidRPr="002E7CA1">
              <w:rPr>
                <w:rFonts w:ascii="Calibri" w:hAnsi="Calibri" w:cs="Calibri"/>
                <w:b/>
                <w:bCs/>
                <w:sz w:val="24"/>
                <w:szCs w:val="24"/>
              </w:rPr>
              <w:t>2022</w:t>
            </w:r>
          </w:p>
        </w:tc>
        <w:tc>
          <w:tcPr>
            <w:tcW w:w="1525" w:type="dxa"/>
            <w:noWrap/>
            <w:hideMark/>
          </w:tcPr>
          <w:p w14:paraId="1DD49CC5" w14:textId="77777777" w:rsidR="00723BDE" w:rsidRPr="002E7CA1" w:rsidRDefault="00723BDE" w:rsidP="005B2CD6">
            <w:pPr>
              <w:spacing w:before="240"/>
              <w:ind w:firstLine="0"/>
              <w:rPr>
                <w:rFonts w:ascii="Calibri" w:hAnsi="Calibri" w:cs="Calibri"/>
                <w:b/>
                <w:bCs/>
                <w:sz w:val="24"/>
                <w:szCs w:val="24"/>
              </w:rPr>
            </w:pPr>
            <w:r w:rsidRPr="002E7CA1">
              <w:rPr>
                <w:rFonts w:ascii="Calibri" w:hAnsi="Calibri" w:cs="Calibri"/>
                <w:b/>
                <w:bCs/>
                <w:sz w:val="24"/>
                <w:szCs w:val="24"/>
              </w:rPr>
              <w:t>2023</w:t>
            </w:r>
          </w:p>
        </w:tc>
      </w:tr>
      <w:tr w:rsidR="002E7CA1" w:rsidRPr="002E7CA1" w14:paraId="2D78775C" w14:textId="77777777" w:rsidTr="002E7CA1">
        <w:trPr>
          <w:trHeight w:val="570"/>
        </w:trPr>
        <w:tc>
          <w:tcPr>
            <w:tcW w:w="1678" w:type="dxa"/>
            <w:hideMark/>
          </w:tcPr>
          <w:p w14:paraId="0454AFEA" w14:textId="5984FE04" w:rsidR="00723BDE" w:rsidRPr="002E7CA1" w:rsidRDefault="00723BDE" w:rsidP="005B2CD6">
            <w:pPr>
              <w:spacing w:before="240"/>
              <w:ind w:firstLine="0"/>
              <w:rPr>
                <w:rFonts w:ascii="Calibri" w:hAnsi="Calibri" w:cs="Calibri"/>
                <w:b/>
                <w:bCs/>
                <w:sz w:val="24"/>
                <w:szCs w:val="24"/>
              </w:rPr>
            </w:pPr>
            <w:r w:rsidRPr="002E7CA1">
              <w:rPr>
                <w:rFonts w:ascii="Calibri" w:hAnsi="Calibri" w:cs="Calibri"/>
                <w:b/>
                <w:bCs/>
                <w:sz w:val="24"/>
                <w:szCs w:val="24"/>
              </w:rPr>
              <w:t xml:space="preserve">Business Enterprise Value </w:t>
            </w:r>
          </w:p>
        </w:tc>
        <w:tc>
          <w:tcPr>
            <w:tcW w:w="1506" w:type="dxa"/>
            <w:noWrap/>
            <w:hideMark/>
          </w:tcPr>
          <w:p w14:paraId="3FED57A3" w14:textId="05970DDC"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$419,980,500</w:t>
            </w:r>
          </w:p>
        </w:tc>
        <w:tc>
          <w:tcPr>
            <w:tcW w:w="1618" w:type="dxa"/>
            <w:noWrap/>
            <w:hideMark/>
          </w:tcPr>
          <w:p w14:paraId="0F47CCF6" w14:textId="0EFB533E"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$402,191,400 </w:t>
            </w:r>
          </w:p>
        </w:tc>
        <w:tc>
          <w:tcPr>
            <w:tcW w:w="1484" w:type="dxa"/>
            <w:noWrap/>
            <w:hideMark/>
          </w:tcPr>
          <w:p w14:paraId="508EAB32" w14:textId="5AB52C57"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$431,929,300</w:t>
            </w:r>
          </w:p>
        </w:tc>
        <w:tc>
          <w:tcPr>
            <w:tcW w:w="1539" w:type="dxa"/>
            <w:noWrap/>
            <w:hideMark/>
          </w:tcPr>
          <w:p w14:paraId="0C4A6EFD" w14:textId="7372F5FF"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$301,349,600</w:t>
            </w:r>
          </w:p>
        </w:tc>
        <w:tc>
          <w:tcPr>
            <w:tcW w:w="1525" w:type="dxa"/>
            <w:noWrap/>
            <w:hideMark/>
          </w:tcPr>
          <w:p w14:paraId="1E90A0E0" w14:textId="1C542329"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$306,709,000</w:t>
            </w:r>
          </w:p>
        </w:tc>
      </w:tr>
      <w:tr w:rsidR="002E7CA1" w:rsidRPr="002E7CA1" w14:paraId="77AB8051" w14:textId="77777777" w:rsidTr="002E7CA1">
        <w:trPr>
          <w:trHeight w:val="570"/>
        </w:trPr>
        <w:tc>
          <w:tcPr>
            <w:tcW w:w="1678" w:type="dxa"/>
            <w:hideMark/>
          </w:tcPr>
          <w:p w14:paraId="0187D0EE" w14:textId="40FB3432" w:rsidR="00723BDE" w:rsidRPr="002E7CA1" w:rsidRDefault="00723BDE" w:rsidP="005B2CD6">
            <w:pPr>
              <w:spacing w:before="240"/>
              <w:ind w:firstLine="0"/>
              <w:rPr>
                <w:rFonts w:ascii="Calibri" w:hAnsi="Calibri" w:cs="Calibri"/>
                <w:b/>
                <w:bCs/>
                <w:sz w:val="24"/>
                <w:szCs w:val="24"/>
              </w:rPr>
            </w:pPr>
            <w:r w:rsidRPr="002E7CA1">
              <w:rPr>
                <w:rFonts w:ascii="Calibri" w:hAnsi="Calibri" w:cs="Calibri"/>
                <w:b/>
                <w:bCs/>
                <w:sz w:val="24"/>
                <w:szCs w:val="24"/>
              </w:rPr>
              <w:t>Total Assessed Value</w:t>
            </w:r>
          </w:p>
        </w:tc>
        <w:tc>
          <w:tcPr>
            <w:tcW w:w="1506" w:type="dxa"/>
            <w:noWrap/>
            <w:hideMark/>
          </w:tcPr>
          <w:p w14:paraId="5266D908" w14:textId="1747509C"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$630,706,002</w:t>
            </w:r>
          </w:p>
        </w:tc>
        <w:tc>
          <w:tcPr>
            <w:tcW w:w="1618" w:type="dxa"/>
            <w:noWrap/>
            <w:hideMark/>
          </w:tcPr>
          <w:p w14:paraId="4EA0E5F1" w14:textId="41B694FE"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$619,376,503 </w:t>
            </w:r>
          </w:p>
        </w:tc>
        <w:tc>
          <w:tcPr>
            <w:tcW w:w="1484" w:type="dxa"/>
            <w:noWrap/>
            <w:hideMark/>
          </w:tcPr>
          <w:p w14:paraId="0DA23249" w14:textId="4E037242"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$598,456,182</w:t>
            </w:r>
          </w:p>
        </w:tc>
        <w:tc>
          <w:tcPr>
            <w:tcW w:w="1539" w:type="dxa"/>
            <w:noWrap/>
            <w:hideMark/>
          </w:tcPr>
          <w:p w14:paraId="226FC4EE" w14:textId="374F2FAE"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$579,285,611</w:t>
            </w:r>
          </w:p>
        </w:tc>
        <w:tc>
          <w:tcPr>
            <w:tcW w:w="1525" w:type="dxa"/>
            <w:noWrap/>
            <w:hideMark/>
          </w:tcPr>
          <w:p w14:paraId="34E2B0F5" w14:textId="7F009AB1"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$616,635,504</w:t>
            </w:r>
          </w:p>
        </w:tc>
      </w:tr>
      <w:tr w:rsidR="002E7CA1" w:rsidRPr="002E7CA1" w14:paraId="56BCEF91" w14:textId="77777777" w:rsidTr="002E7CA1">
        <w:trPr>
          <w:trHeight w:val="300"/>
        </w:trPr>
        <w:tc>
          <w:tcPr>
            <w:tcW w:w="1678" w:type="dxa"/>
            <w:noWrap/>
            <w:hideMark/>
          </w:tcPr>
          <w:p w14:paraId="0966910D" w14:textId="77777777" w:rsidR="00723BDE" w:rsidRPr="002E7CA1" w:rsidRDefault="00723BDE" w:rsidP="005B2CD6">
            <w:pPr>
              <w:spacing w:before="240"/>
              <w:ind w:firstLine="0"/>
              <w:rPr>
                <w:rFonts w:ascii="Calibri" w:hAnsi="Calibri" w:cs="Calibri"/>
                <w:b/>
                <w:bCs/>
                <w:sz w:val="24"/>
                <w:szCs w:val="24"/>
              </w:rPr>
            </w:pPr>
            <w:r w:rsidRPr="002E7CA1">
              <w:rPr>
                <w:rFonts w:ascii="Calibri" w:hAnsi="Calibri" w:cs="Calibri"/>
                <w:b/>
                <w:bCs/>
                <w:sz w:val="24"/>
                <w:szCs w:val="24"/>
              </w:rPr>
              <w:t>Economic Obsolescence Reduction</w:t>
            </w:r>
          </w:p>
        </w:tc>
        <w:tc>
          <w:tcPr>
            <w:tcW w:w="1506" w:type="dxa"/>
            <w:noWrap/>
            <w:hideMark/>
          </w:tcPr>
          <w:p w14:paraId="3ED7494F" w14:textId="25EC2E44"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33.41%</w:t>
            </w:r>
          </w:p>
        </w:tc>
        <w:tc>
          <w:tcPr>
            <w:tcW w:w="1618" w:type="dxa"/>
            <w:noWrap/>
            <w:hideMark/>
          </w:tcPr>
          <w:p w14:paraId="64242E45" w14:textId="70B7A604"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35.07%</w:t>
            </w:r>
          </w:p>
        </w:tc>
        <w:tc>
          <w:tcPr>
            <w:tcW w:w="1484" w:type="dxa"/>
            <w:noWrap/>
            <w:hideMark/>
          </w:tcPr>
          <w:p w14:paraId="5B0FED59" w14:textId="5068D3F3"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27.83%</w:t>
            </w:r>
          </w:p>
        </w:tc>
        <w:tc>
          <w:tcPr>
            <w:tcW w:w="1539" w:type="dxa"/>
            <w:noWrap/>
            <w:hideMark/>
          </w:tcPr>
          <w:p w14:paraId="0D1158D6" w14:textId="6097EBB7"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47.98%</w:t>
            </w:r>
          </w:p>
        </w:tc>
        <w:tc>
          <w:tcPr>
            <w:tcW w:w="1525" w:type="dxa"/>
            <w:noWrap/>
            <w:hideMark/>
          </w:tcPr>
          <w:p w14:paraId="6D89B3A0" w14:textId="3F3AAE89" w:rsidR="00723BDE" w:rsidRPr="002E7CA1" w:rsidRDefault="00723BDE" w:rsidP="005B2CD6">
            <w:pPr>
              <w:spacing w:before="240"/>
              <w:ind w:firstLine="0"/>
              <w:rPr>
                <w:rFonts w:ascii="Calibri" w:hAnsi="Calibri" w:cs="Calibri"/>
                <w:sz w:val="24"/>
                <w:szCs w:val="24"/>
              </w:rPr>
            </w:pPr>
            <w:r w:rsidRPr="002E7CA1">
              <w:rPr>
                <w:rFonts w:ascii="Calibri" w:hAnsi="Calibri" w:cs="Calibri"/>
                <w:sz w:val="24"/>
                <w:szCs w:val="24"/>
              </w:rPr>
              <w:t xml:space="preserve"> 50.26%</w:t>
            </w:r>
          </w:p>
        </w:tc>
      </w:tr>
    </w:tbl>
    <w:p w14:paraId="66C29A43" w14:textId="77777777" w:rsidR="00C72483" w:rsidRDefault="00C72483" w:rsidP="00FE71F3"/>
    <w:p w14:paraId="13A68977" w14:textId="6268BA5E" w:rsidR="00826394" w:rsidRDefault="0048543B" w:rsidP="00FE71F3">
      <w:r>
        <w:t xml:space="preserve">RIG did not calculate economic obsolescence specific to the portion of the Property located within any specific parish. </w:t>
      </w:r>
      <w:r w:rsidR="0095504D">
        <w:t xml:space="preserve">Ms. Cartwright testified that </w:t>
      </w:r>
      <w:r w:rsidR="00826394">
        <w:t xml:space="preserve">she could have </w:t>
      </w:r>
      <w:r w:rsidR="0095504D">
        <w:t>determined economic obsolescence on a parish-by-parish level,</w:t>
      </w:r>
      <w:r w:rsidR="00826394">
        <w:t xml:space="preserve"> but that would </w:t>
      </w:r>
      <w:r w:rsidR="006D3BE5">
        <w:t xml:space="preserve">have </w:t>
      </w:r>
      <w:r w:rsidR="00826394">
        <w:t>take</w:t>
      </w:r>
      <w:r w:rsidR="006D3BE5">
        <w:t>n</w:t>
      </w:r>
      <w:r w:rsidR="00826394">
        <w:t xml:space="preserve"> </w:t>
      </w:r>
      <w:r w:rsidR="006D3BE5">
        <w:t xml:space="preserve">more time </w:t>
      </w:r>
      <w:r w:rsidR="00826394">
        <w:t xml:space="preserve">and </w:t>
      </w:r>
      <w:r w:rsidR="006D3BE5">
        <w:t xml:space="preserve">incurred </w:t>
      </w:r>
      <w:r w:rsidR="00826394">
        <w:t>more</w:t>
      </w:r>
      <w:r w:rsidR="006D3BE5">
        <w:t xml:space="preserve"> expense</w:t>
      </w:r>
      <w:r w:rsidR="00A47FF2">
        <w:t>. During the hearing on the 2019 through 2021 tax years, she testified</w:t>
      </w:r>
      <w:r w:rsidR="00826394">
        <w:t>:</w:t>
      </w:r>
    </w:p>
    <w:p w14:paraId="13374302" w14:textId="54B857C1" w:rsidR="00271D57" w:rsidRDefault="00826394" w:rsidP="005B2CD6">
      <w:pPr>
        <w:pStyle w:val="Quote"/>
        <w:spacing w:line="360" w:lineRule="auto"/>
      </w:pPr>
      <w:r>
        <w:t xml:space="preserve">This is the economic obsolescence </w:t>
      </w:r>
      <w:proofErr w:type="gramStart"/>
      <w:r>
        <w:t>system-wide</w:t>
      </w:r>
      <w:proofErr w:type="gramEnd"/>
      <w:r>
        <w:t>. We could if we wanted to spend untold of those dollars and many, many, many months, we could try to break it down section by section, but I would say to you that the 42-inch pipeline, which is subject to the greatest amount if we did that of economic obsolescence, so instead of being less obsolescence applied to it, it would be more. So, my average across the system is doing you a favor.</w:t>
      </w:r>
    </w:p>
    <w:p w14:paraId="39A1CC48" w14:textId="547C09E4" w:rsidR="00364B33" w:rsidRDefault="00B91BA9" w:rsidP="00FE71F3">
      <w:r>
        <w:t xml:space="preserve">She </w:t>
      </w:r>
      <w:r w:rsidR="00A47FF2">
        <w:t>further testified</w:t>
      </w:r>
      <w:r w:rsidR="000C04B7">
        <w:t xml:space="preserve"> that</w:t>
      </w:r>
      <w:r w:rsidR="006D3BE5">
        <w:t xml:space="preserve"> a system-wide approach was appropriate because</w:t>
      </w:r>
      <w:r w:rsidR="000C04B7">
        <w:t xml:space="preserve"> pipeline systems are sold as entire systems and not in portions, stating</w:t>
      </w:r>
      <w:r w:rsidR="00271D57">
        <w:t>:</w:t>
      </w:r>
    </w:p>
    <w:p w14:paraId="53BB7407" w14:textId="7717C11B" w:rsidR="00271D57" w:rsidRDefault="00271D57" w:rsidP="005B2CD6">
      <w:pPr>
        <w:pStyle w:val="Quote"/>
        <w:spacing w:line="360" w:lineRule="auto"/>
      </w:pPr>
      <w:r>
        <w:t xml:space="preserve">Okay. They are not bought and sold that way. That is just not how it is done. So, we will start with that, they are not bought and sold that way, but for property tax purposes, they are assessed that way, so what it will - - I will observe though is that with these pipelines, as Mr. Anthony and Mr. Lee have both pointed out to you, the 42-inch pipeline in those parishes would be the least useful, the most underutilized of all the </w:t>
      </w:r>
      <w:r>
        <w:lastRenderedPageBreak/>
        <w:t xml:space="preserve">pipeline, and so, they would. If we could </w:t>
      </w:r>
      <w:r w:rsidR="000C04B7">
        <w:t xml:space="preserve">get </w:t>
      </w:r>
      <w:r>
        <w:t>that granular, if we were willing to spend that kind of money and time to get that granular, they would be subject to a greater economic obsolescence factor, not a lesser one.</w:t>
      </w:r>
    </w:p>
    <w:p w14:paraId="0AE3F386" w14:textId="4059BBEF" w:rsidR="00B91BA9" w:rsidRDefault="006D3BE5" w:rsidP="00FE71F3">
      <w:r>
        <w:t>Similarly</w:t>
      </w:r>
      <w:r w:rsidR="00B91BA9">
        <w:t>, in the hearing on the 2022 and 2023 tax years, Ms. Cartwright testified:</w:t>
      </w:r>
    </w:p>
    <w:p w14:paraId="773B8466" w14:textId="690EC7E6" w:rsidR="00B91BA9" w:rsidRPr="007D4158" w:rsidRDefault="00B91BA9" w:rsidP="005B2CD6">
      <w:pPr>
        <w:pStyle w:val="Quote"/>
        <w:spacing w:line="360" w:lineRule="auto"/>
      </w:pPr>
      <w:r w:rsidRPr="007D4158">
        <w:t xml:space="preserve">So, yes, I think with a lot of information and some careful thought, we could sit </w:t>
      </w:r>
      <w:proofErr w:type="gramStart"/>
      <w:r w:rsidRPr="007D4158">
        <w:t>down</w:t>
      </w:r>
      <w:proofErr w:type="gramEnd"/>
      <w:r w:rsidRPr="007D4158">
        <w:t xml:space="preserve"> and we could possibly look at differentiating values and different, for tangible assets in different parishes. They ask the question. I have to say, yes, I think that</w:t>
      </w:r>
      <w:r w:rsidR="00DF5B0A" w:rsidRPr="007D4158">
        <w:t>’</w:t>
      </w:r>
      <w:r w:rsidRPr="007D4158">
        <w:t>s possible based on that scenario.</w:t>
      </w:r>
    </w:p>
    <w:p w14:paraId="51868CC5" w14:textId="3964155C" w:rsidR="006D3BE5" w:rsidRDefault="006D3BE5" w:rsidP="005B2CD6">
      <w:pPr>
        <w:ind w:firstLine="0"/>
      </w:pPr>
      <w:r>
        <w:t>RIG</w:t>
      </w:r>
      <w:r w:rsidR="00DF5B0A">
        <w:t>’</w:t>
      </w:r>
      <w:r>
        <w:t>s other witnesses also valued the Pipeline System as a whole and not section by section.</w:t>
      </w:r>
    </w:p>
    <w:p w14:paraId="454456AB" w14:textId="462F7BF0" w:rsidR="00A47FF2" w:rsidRDefault="00A47FF2" w:rsidP="00FE71F3">
      <w:r>
        <w:t xml:space="preserve">For the tax year 2020, Ms. Cartwright received </w:t>
      </w:r>
      <w:r w:rsidR="0048543B">
        <w:t xml:space="preserve">RIG’s </w:t>
      </w:r>
      <w:r>
        <w:t>fixed asset ledger. She testified that th</w:t>
      </w:r>
      <w:r w:rsidR="0048543B">
        <w:t>is</w:t>
      </w:r>
      <w:r>
        <w:t xml:space="preserve"> ledger was a list of tangible assets </w:t>
      </w:r>
      <w:r w:rsidR="00DF5B0A">
        <w:t>“</w:t>
      </w:r>
      <w:r>
        <w:t>line-item by line-item, the date of purchase, the date in service.</w:t>
      </w:r>
      <w:r w:rsidR="00DF5B0A">
        <w:t>”</w:t>
      </w:r>
      <w:r>
        <w:t xml:space="preserve"> For each line item, she employed a </w:t>
      </w:r>
      <w:r w:rsidR="00DF5B0A">
        <w:t>“</w:t>
      </w:r>
      <w:r>
        <w:t>trending analysis,</w:t>
      </w:r>
      <w:r w:rsidR="00DF5B0A">
        <w:t>”</w:t>
      </w:r>
      <w:r>
        <w:t xml:space="preserve"> which used Bureau of Labor statistics and Marshall &amp; Swift </w:t>
      </w:r>
      <w:proofErr w:type="gramStart"/>
      <w:r>
        <w:t>information</w:t>
      </w:r>
      <w:proofErr w:type="gramEnd"/>
      <w:r>
        <w:t xml:space="preserve"> and </w:t>
      </w:r>
      <w:r w:rsidR="0048543B">
        <w:t xml:space="preserve">she </w:t>
      </w:r>
      <w:r>
        <w:t xml:space="preserve">depreciated </w:t>
      </w:r>
      <w:r w:rsidR="0048543B">
        <w:t xml:space="preserve">each </w:t>
      </w:r>
      <w:r>
        <w:t xml:space="preserve">asset based on the </w:t>
      </w:r>
      <w:r w:rsidRPr="00DA3AF7">
        <w:t>American Society of Appraisers</w:t>
      </w:r>
      <w:r w:rsidR="00DF5B0A">
        <w:t>’</w:t>
      </w:r>
      <w:r>
        <w:t xml:space="preserve"> </w:t>
      </w:r>
      <w:r w:rsidR="00DF5B0A">
        <w:t>“‘</w:t>
      </w:r>
      <w:proofErr w:type="spellStart"/>
      <w:r>
        <w:t>Lifing</w:t>
      </w:r>
      <w:proofErr w:type="spellEnd"/>
      <w:r w:rsidR="00DF5B0A">
        <w:t>’</w:t>
      </w:r>
      <w:r w:rsidR="006D3BE5">
        <w:t xml:space="preserve"> </w:t>
      </w:r>
      <w:r>
        <w:t>Studies,</w:t>
      </w:r>
      <w:r w:rsidR="00DF5B0A">
        <w:t>”</w:t>
      </w:r>
      <w:r>
        <w:t xml:space="preserve"> </w:t>
      </w:r>
      <w:proofErr w:type="gramStart"/>
      <w:r>
        <w:t>in order to</w:t>
      </w:r>
      <w:proofErr w:type="gramEnd"/>
      <w:r>
        <w:t xml:space="preserve"> determine a replacement cost new less depreciation value. </w:t>
      </w:r>
      <w:r w:rsidR="009732B0">
        <w:t xml:space="preserve">However, </w:t>
      </w:r>
      <w:r w:rsidR="004D5F09">
        <w:t>Ms. Cartwright</w:t>
      </w:r>
      <w:r w:rsidR="00DF5B0A">
        <w:t>’</w:t>
      </w:r>
      <w:r w:rsidR="004D5F09">
        <w:t xml:space="preserve">s </w:t>
      </w:r>
      <w:r w:rsidR="009732B0">
        <w:t>line-item</w:t>
      </w:r>
      <w:r w:rsidR="004D5F09">
        <w:t xml:space="preserve"> determinations were not submitted to the Assessors or the LTC and </w:t>
      </w:r>
      <w:r w:rsidR="009732B0">
        <w:t xml:space="preserve">are </w:t>
      </w:r>
      <w:r w:rsidR="004D5F09">
        <w:t xml:space="preserve">not part of the record. </w:t>
      </w:r>
      <w:r w:rsidR="009732B0">
        <w:t xml:space="preserve">Nor is the </w:t>
      </w:r>
      <w:r>
        <w:t xml:space="preserve">2020 fixed asset ledger part of </w:t>
      </w:r>
      <w:r w:rsidR="009732B0">
        <w:t xml:space="preserve">the record. </w:t>
      </w:r>
      <w:r w:rsidR="004D5F09">
        <w:t xml:space="preserve">Additionally, Ms. Cartwright </w:t>
      </w:r>
      <w:r>
        <w:t xml:space="preserve">did not receive </w:t>
      </w:r>
      <w:r w:rsidR="004D5F09">
        <w:t xml:space="preserve">a </w:t>
      </w:r>
      <w:r>
        <w:t xml:space="preserve">fixed asset ledger for </w:t>
      </w:r>
      <w:r w:rsidR="004D5F09">
        <w:t xml:space="preserve">any of the </w:t>
      </w:r>
      <w:r>
        <w:t xml:space="preserve">other </w:t>
      </w:r>
      <w:r w:rsidR="004D5F09">
        <w:t>T</w:t>
      </w:r>
      <w:r>
        <w:t xml:space="preserve">ax </w:t>
      </w:r>
      <w:proofErr w:type="gramStart"/>
      <w:r w:rsidR="004D5F09">
        <w:t>Y</w:t>
      </w:r>
      <w:r>
        <w:t>ears</w:t>
      </w:r>
      <w:r w:rsidR="004D5F09">
        <w:t xml:space="preserve"> at issue</w:t>
      </w:r>
      <w:proofErr w:type="gramEnd"/>
      <w:r>
        <w:t xml:space="preserve">. </w:t>
      </w:r>
      <w:r w:rsidR="004D5F09">
        <w:t>Thus, s</w:t>
      </w:r>
      <w:r>
        <w:t xml:space="preserve">he did not perform a tangible asset valuation for the tax years 2019, 2021, 2022, or 2023. </w:t>
      </w:r>
    </w:p>
    <w:p w14:paraId="38B59960" w14:textId="3D4E539A" w:rsidR="00F229B5" w:rsidRDefault="009732B0" w:rsidP="00FE71F3">
      <w:r>
        <w:t xml:space="preserve">The evidence presented for each tax year was largely identical. </w:t>
      </w:r>
      <w:r w:rsidR="00F229B5">
        <w:t xml:space="preserve">However, </w:t>
      </w:r>
      <w:proofErr w:type="gramStart"/>
      <w:r w:rsidR="00F229B5">
        <w:t>the LTC</w:t>
      </w:r>
      <w:proofErr w:type="gramEnd"/>
      <w:r w:rsidR="00F229B5">
        <w:t xml:space="preserve"> sustained the Assessors</w:t>
      </w:r>
      <w:r w:rsidR="00DF5B0A">
        <w:t>’</w:t>
      </w:r>
      <w:r w:rsidR="00F229B5">
        <w:t xml:space="preserve"> objection to Ms. Cartwright</w:t>
      </w:r>
      <w:r w:rsidR="00DF5B0A">
        <w:t>’</w:t>
      </w:r>
      <w:r w:rsidR="00F229B5">
        <w:t>s appraisal</w:t>
      </w:r>
      <w:r w:rsidR="000751E7">
        <w:t xml:space="preserve"> for 2019</w:t>
      </w:r>
      <w:r w:rsidR="00F229B5">
        <w:t>.</w:t>
      </w:r>
      <w:r w:rsidR="000751E7">
        <w:t xml:space="preserve"> </w:t>
      </w:r>
      <w:r w:rsidR="00DF5B0A">
        <w:t xml:space="preserve">This was because </w:t>
      </w:r>
      <w:r w:rsidR="000751E7">
        <w:t>RIG did not request Ms. Cartwright</w:t>
      </w:r>
      <w:r w:rsidR="00DF5B0A">
        <w:t>’</w:t>
      </w:r>
      <w:r w:rsidR="000751E7">
        <w:t xml:space="preserve">s appraisal until September 2022. </w:t>
      </w:r>
      <w:r w:rsidR="00DF5B0A">
        <w:t xml:space="preserve">RIG’s request </w:t>
      </w:r>
      <w:r w:rsidR="000751E7">
        <w:t xml:space="preserve">was </w:t>
      </w:r>
      <w:r w:rsidR="00DF5B0A">
        <w:t xml:space="preserve">made </w:t>
      </w:r>
      <w:r w:rsidR="000751E7">
        <w:t>well after the deadline for submitting evidence to the Assessors. The LTC found that RIG</w:t>
      </w:r>
      <w:r w:rsidR="00DF5B0A">
        <w:t>’</w:t>
      </w:r>
      <w:r w:rsidR="000751E7">
        <w:t xml:space="preserve">s delay was unexplained and that the Assessors properly disregarded the untimely submission. Additionally, </w:t>
      </w:r>
      <w:r w:rsidR="00DF5B0A">
        <w:t xml:space="preserve">for 2019, </w:t>
      </w:r>
      <w:r w:rsidR="000751E7">
        <w:t>the LTC sustained the Assessors</w:t>
      </w:r>
      <w:r w:rsidR="00DF5B0A">
        <w:t>’</w:t>
      </w:r>
      <w:r w:rsidR="000751E7">
        <w:t xml:space="preserve"> objection to ten pages of the Partnership Agreement because those pages were omitted from the otherwise timely submission of evidence</w:t>
      </w:r>
      <w:r w:rsidR="00DF5B0A">
        <w:t>,</w:t>
      </w:r>
      <w:r w:rsidR="000751E7">
        <w:t xml:space="preserve"> and RIG</w:t>
      </w:r>
      <w:r w:rsidR="00DF5B0A">
        <w:t>’</w:t>
      </w:r>
      <w:r w:rsidR="000751E7">
        <w:t xml:space="preserve">s attempts to cure the omission came too late. </w:t>
      </w:r>
      <w:r w:rsidR="000C04B7">
        <w:t>T</w:t>
      </w:r>
      <w:r w:rsidR="00C92CBB">
        <w:t xml:space="preserve">he LTC </w:t>
      </w:r>
      <w:r w:rsidR="000C04B7">
        <w:t xml:space="preserve">further </w:t>
      </w:r>
      <w:r w:rsidR="00C92CBB">
        <w:t xml:space="preserve">found that the </w:t>
      </w:r>
      <w:r w:rsidR="000751E7">
        <w:t xml:space="preserve">documentation </w:t>
      </w:r>
      <w:r w:rsidR="00C92CBB">
        <w:t xml:space="preserve">of the Alinda </w:t>
      </w:r>
      <w:r w:rsidR="000C04B7">
        <w:t xml:space="preserve">Sale </w:t>
      </w:r>
      <w:r w:rsidR="00C92CBB">
        <w:t xml:space="preserve">was not reliable without supporting testimony from </w:t>
      </w:r>
      <w:r w:rsidR="00C92CBB">
        <w:lastRenderedPageBreak/>
        <w:t>RIG</w:t>
      </w:r>
      <w:r w:rsidR="00DF5B0A">
        <w:t>’</w:t>
      </w:r>
      <w:r w:rsidR="00C92CBB">
        <w:t xml:space="preserve">s witness Martin Anthony, which was not available to the Assessors prior to the hearing. Without these supporting facts, the </w:t>
      </w:r>
      <w:r w:rsidR="000751E7">
        <w:t xml:space="preserve">LTC </w:t>
      </w:r>
      <w:r w:rsidR="00C92CBB">
        <w:t xml:space="preserve">held </w:t>
      </w:r>
      <w:r w:rsidR="000751E7">
        <w:t>that it had no choice but to affirm the Assessors</w:t>
      </w:r>
      <w:r w:rsidR="00DF5B0A">
        <w:t>’</w:t>
      </w:r>
      <w:r w:rsidR="000751E7">
        <w:t xml:space="preserve"> valuations</w:t>
      </w:r>
      <w:r>
        <w:t xml:space="preserve"> for 2019</w:t>
      </w:r>
      <w:r w:rsidR="000751E7">
        <w:t>.</w:t>
      </w:r>
    </w:p>
    <w:p w14:paraId="4AED00AA" w14:textId="00EA16BD" w:rsidR="00565A21" w:rsidRDefault="000751E7" w:rsidP="00FE71F3">
      <w:r>
        <w:t>For all subsequent tax years (202</w:t>
      </w:r>
      <w:r w:rsidR="00A6524E">
        <w:t>0</w:t>
      </w:r>
      <w:r>
        <w:t xml:space="preserve"> through 2023), the LTC accepted RIG</w:t>
      </w:r>
      <w:r w:rsidR="00DF5B0A">
        <w:t>’</w:t>
      </w:r>
      <w:r>
        <w:t>s valuations. The LTC relied on Ms. Cartwright</w:t>
      </w:r>
      <w:r w:rsidR="00DF5B0A">
        <w:t>’</w:t>
      </w:r>
      <w:r>
        <w:t>s appraisal</w:t>
      </w:r>
      <w:r w:rsidR="00A6524E">
        <w:t xml:space="preserve"> </w:t>
      </w:r>
      <w:r w:rsidR="009732B0">
        <w:t xml:space="preserve">and </w:t>
      </w:r>
      <w:r w:rsidR="00A6524E">
        <w:t>support</w:t>
      </w:r>
      <w:r w:rsidR="009732B0">
        <w:t>ing</w:t>
      </w:r>
      <w:r w:rsidR="00A6524E">
        <w:t xml:space="preserve"> </w:t>
      </w:r>
      <w:r w:rsidR="009732B0">
        <w:t xml:space="preserve">testimony from </w:t>
      </w:r>
      <w:r w:rsidR="00A6524E">
        <w:t>RIG</w:t>
      </w:r>
      <w:r w:rsidR="00DF5B0A">
        <w:t>’</w:t>
      </w:r>
      <w:r w:rsidR="00A6524E">
        <w:t xml:space="preserve">s witnesses. Additionally, the LTC found that the valuation shown under the market approach using the </w:t>
      </w:r>
      <w:r w:rsidR="000C04B7">
        <w:t xml:space="preserve">Alinda Sale </w:t>
      </w:r>
      <w:r w:rsidR="00A6524E">
        <w:t>document</w:t>
      </w:r>
      <w:r w:rsidR="000C04B7">
        <w:t>s and supporting testimony</w:t>
      </w:r>
      <w:r w:rsidR="00A6524E">
        <w:t xml:space="preserve"> </w:t>
      </w:r>
      <w:r w:rsidR="00DF5B0A">
        <w:t xml:space="preserve">provided additional </w:t>
      </w:r>
      <w:r w:rsidR="00A6524E">
        <w:t>support</w:t>
      </w:r>
      <w:r w:rsidR="00DF5B0A">
        <w:t xml:space="preserve"> for</w:t>
      </w:r>
      <w:r w:rsidR="00A6524E">
        <w:t xml:space="preserve"> </w:t>
      </w:r>
      <w:r w:rsidR="00DF5B0A">
        <w:t xml:space="preserve">granting </w:t>
      </w:r>
      <w:r w:rsidR="00A6524E">
        <w:t>a reduction for economic obsolescence.</w:t>
      </w:r>
      <w:r>
        <w:t xml:space="preserve"> </w:t>
      </w:r>
      <w:r w:rsidR="005878D4">
        <w:t xml:space="preserve">The LTC </w:t>
      </w:r>
      <w:r w:rsidR="009732B0">
        <w:t xml:space="preserve">further </w:t>
      </w:r>
      <w:r w:rsidR="00DF5B0A">
        <w:t xml:space="preserve">accepted RIG’s witnesses’ assertions that the </w:t>
      </w:r>
      <w:r w:rsidR="005878D4">
        <w:t>individual pipeline segments had no value if separated from the Pipeline System as a whole, and that such systems are not bought and sold piecemeal.</w:t>
      </w:r>
    </w:p>
    <w:p w14:paraId="5712A300" w14:textId="2F76F155" w:rsidR="005878D4" w:rsidRDefault="005878D4" w:rsidP="00FE71F3">
      <w:r>
        <w:t xml:space="preserve">The </w:t>
      </w:r>
      <w:r w:rsidR="00B50331">
        <w:t xml:space="preserve">competing </w:t>
      </w:r>
      <w:r w:rsidR="00723BDE">
        <w:t xml:space="preserve">valuations </w:t>
      </w:r>
      <w:r w:rsidR="00556830">
        <w:t xml:space="preserve">offered by the parties </w:t>
      </w:r>
      <w:r w:rsidR="00541A67">
        <w:t xml:space="preserve">are </w:t>
      </w:r>
      <w:r w:rsidR="00723BDE">
        <w:t xml:space="preserve">recited by </w:t>
      </w:r>
      <w:proofErr w:type="gramStart"/>
      <w:r w:rsidR="00723BDE">
        <w:t>the LTC</w:t>
      </w:r>
      <w:proofErr w:type="gramEnd"/>
      <w:r w:rsidR="00723BDE">
        <w:t xml:space="preserve"> </w:t>
      </w:r>
      <w:r w:rsidR="00541A67">
        <w:t xml:space="preserve">in its decisions. </w:t>
      </w:r>
      <w:r w:rsidR="00556830">
        <w:t>F</w:t>
      </w:r>
      <w:r w:rsidR="00541A67">
        <w:t>or 2019, RIG’s appeals to the LTC cumulated all assessments for each parish into one value</w:t>
      </w:r>
      <w:r w:rsidR="00B50331">
        <w:t>. In subsequent years, RIG</w:t>
      </w:r>
      <w:r w:rsidR="00541A67">
        <w:t xml:space="preserve"> </w:t>
      </w:r>
      <w:r w:rsidR="00B50331">
        <w:t xml:space="preserve">appealed </w:t>
      </w:r>
      <w:r w:rsidR="00541A67">
        <w:t xml:space="preserve">on an assessment-by-assessment basis. </w:t>
      </w:r>
      <w:r w:rsidR="00B50331">
        <w:t xml:space="preserve">Thus, RIG’s entries in the tables below are blank with respect to the individual assessments in 2019. </w:t>
      </w:r>
      <w:r w:rsidR="00556830">
        <w:t xml:space="preserve">That said, the </w:t>
      </w:r>
      <w:r w:rsidR="00B50331">
        <w:t xml:space="preserve">various valuations, as asserted by the </w:t>
      </w:r>
      <w:r w:rsidR="00541A67">
        <w:t>partie</w:t>
      </w:r>
      <w:r w:rsidR="00B50331">
        <w:t>s and ultimately</w:t>
      </w:r>
      <w:r w:rsidR="00541A67">
        <w:t xml:space="preserve"> determined by the LTC </w:t>
      </w:r>
      <w:r w:rsidR="00723BDE">
        <w:t>are</w:t>
      </w:r>
      <w:r>
        <w:t xml:space="preserve"> as follows:</w:t>
      </w:r>
    </w:p>
    <w:p w14:paraId="3560B9DB" w14:textId="32C9EA31" w:rsidR="00446A2A" w:rsidRDefault="00446A2A" w:rsidP="007F06A5">
      <w:pPr>
        <w:spacing w:before="240"/>
      </w:pPr>
      <w:r>
        <w:t xml:space="preserve">Caldwell Parish, </w:t>
      </w:r>
      <w:r w:rsidRPr="00446A2A">
        <w:t>Assessment 1010001570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602"/>
        <w:gridCol w:w="1602"/>
        <w:gridCol w:w="1601"/>
        <w:gridCol w:w="1601"/>
        <w:gridCol w:w="1625"/>
      </w:tblGrid>
      <w:tr w:rsidR="005B2CD6" w:rsidRPr="0060053A" w14:paraId="5A600B7F" w14:textId="77777777" w:rsidTr="005B2CD6">
        <w:trPr>
          <w:trHeight w:val="255"/>
        </w:trPr>
        <w:tc>
          <w:tcPr>
            <w:tcW w:w="705" w:type="pct"/>
            <w:noWrap/>
            <w:vAlign w:val="bottom"/>
            <w:hideMark/>
          </w:tcPr>
          <w:p w14:paraId="37287B51" w14:textId="0784F529"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 </w:t>
            </w:r>
            <w:r w:rsidR="00446A2A" w:rsidRPr="0060053A">
              <w:rPr>
                <w:rFonts w:ascii="Calibri" w:hAnsi="Calibri" w:cs="Calibri"/>
                <w:b/>
                <w:bCs/>
                <w:sz w:val="24"/>
                <w:szCs w:val="24"/>
              </w:rPr>
              <w:t>Party</w:t>
            </w:r>
          </w:p>
        </w:tc>
        <w:tc>
          <w:tcPr>
            <w:tcW w:w="856" w:type="pct"/>
            <w:noWrap/>
            <w:vAlign w:val="bottom"/>
            <w:hideMark/>
          </w:tcPr>
          <w:p w14:paraId="270FAF0A"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2019</w:t>
            </w:r>
          </w:p>
        </w:tc>
        <w:tc>
          <w:tcPr>
            <w:tcW w:w="856" w:type="pct"/>
            <w:noWrap/>
            <w:vAlign w:val="bottom"/>
            <w:hideMark/>
          </w:tcPr>
          <w:p w14:paraId="1FBAD998"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2020</w:t>
            </w:r>
          </w:p>
        </w:tc>
        <w:tc>
          <w:tcPr>
            <w:tcW w:w="856" w:type="pct"/>
            <w:noWrap/>
            <w:vAlign w:val="bottom"/>
            <w:hideMark/>
          </w:tcPr>
          <w:p w14:paraId="5E3A5038"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2021</w:t>
            </w:r>
          </w:p>
        </w:tc>
        <w:tc>
          <w:tcPr>
            <w:tcW w:w="856" w:type="pct"/>
            <w:noWrap/>
            <w:vAlign w:val="bottom"/>
            <w:hideMark/>
          </w:tcPr>
          <w:p w14:paraId="7E24506D"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2022</w:t>
            </w:r>
          </w:p>
        </w:tc>
        <w:tc>
          <w:tcPr>
            <w:tcW w:w="869" w:type="pct"/>
            <w:noWrap/>
            <w:vAlign w:val="bottom"/>
            <w:hideMark/>
          </w:tcPr>
          <w:p w14:paraId="522E6EDE"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2023</w:t>
            </w:r>
          </w:p>
        </w:tc>
      </w:tr>
      <w:tr w:rsidR="005B2CD6" w:rsidRPr="0060053A" w14:paraId="7E511FA0" w14:textId="77777777" w:rsidTr="005B2CD6">
        <w:trPr>
          <w:trHeight w:val="255"/>
        </w:trPr>
        <w:tc>
          <w:tcPr>
            <w:tcW w:w="705" w:type="pct"/>
            <w:noWrap/>
            <w:vAlign w:val="bottom"/>
            <w:hideMark/>
          </w:tcPr>
          <w:p w14:paraId="31A5E09A"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Assessor</w:t>
            </w:r>
          </w:p>
        </w:tc>
        <w:tc>
          <w:tcPr>
            <w:tcW w:w="856" w:type="pct"/>
            <w:noWrap/>
            <w:vAlign w:val="bottom"/>
            <w:hideMark/>
          </w:tcPr>
          <w:p w14:paraId="43A64924"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$30,052,373</w:t>
            </w:r>
          </w:p>
        </w:tc>
        <w:tc>
          <w:tcPr>
            <w:tcW w:w="856" w:type="pct"/>
            <w:noWrap/>
            <w:vAlign w:val="bottom"/>
            <w:hideMark/>
          </w:tcPr>
          <w:p w14:paraId="5D50B1B5"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$27,632,791</w:t>
            </w:r>
          </w:p>
        </w:tc>
        <w:tc>
          <w:tcPr>
            <w:tcW w:w="856" w:type="pct"/>
            <w:noWrap/>
            <w:vAlign w:val="bottom"/>
            <w:hideMark/>
          </w:tcPr>
          <w:p w14:paraId="7BBE5F77"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$27,632,786</w:t>
            </w:r>
          </w:p>
        </w:tc>
        <w:tc>
          <w:tcPr>
            <w:tcW w:w="856" w:type="pct"/>
            <w:noWrap/>
            <w:vAlign w:val="bottom"/>
            <w:hideMark/>
          </w:tcPr>
          <w:p w14:paraId="51615BF4"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$25,106,866</w:t>
            </w:r>
          </w:p>
        </w:tc>
        <w:tc>
          <w:tcPr>
            <w:tcW w:w="869" w:type="pct"/>
            <w:noWrap/>
            <w:vAlign w:val="bottom"/>
            <w:hideMark/>
          </w:tcPr>
          <w:p w14:paraId="1F118612"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$23,178,746</w:t>
            </w:r>
          </w:p>
        </w:tc>
      </w:tr>
      <w:tr w:rsidR="005B2CD6" w:rsidRPr="0060053A" w14:paraId="1CA803B9" w14:textId="77777777" w:rsidTr="005B2CD6">
        <w:trPr>
          <w:trHeight w:val="255"/>
        </w:trPr>
        <w:tc>
          <w:tcPr>
            <w:tcW w:w="705" w:type="pct"/>
            <w:noWrap/>
            <w:vAlign w:val="bottom"/>
            <w:hideMark/>
          </w:tcPr>
          <w:p w14:paraId="09373B15"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RIG</w:t>
            </w:r>
          </w:p>
        </w:tc>
        <w:tc>
          <w:tcPr>
            <w:tcW w:w="856" w:type="pct"/>
            <w:noWrap/>
            <w:vAlign w:val="bottom"/>
            <w:hideMark/>
          </w:tcPr>
          <w:p w14:paraId="26E25525"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 </w:t>
            </w:r>
          </w:p>
        </w:tc>
        <w:tc>
          <w:tcPr>
            <w:tcW w:w="856" w:type="pct"/>
            <w:noWrap/>
            <w:vAlign w:val="bottom"/>
            <w:hideMark/>
          </w:tcPr>
          <w:p w14:paraId="53E92EFA"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$17,969,462</w:t>
            </w:r>
          </w:p>
        </w:tc>
        <w:tc>
          <w:tcPr>
            <w:tcW w:w="856" w:type="pct"/>
            <w:noWrap/>
            <w:vAlign w:val="bottom"/>
            <w:hideMark/>
          </w:tcPr>
          <w:p w14:paraId="33BC120D"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$17,292,340</w:t>
            </w:r>
          </w:p>
        </w:tc>
        <w:tc>
          <w:tcPr>
            <w:tcW w:w="856" w:type="pct"/>
            <w:noWrap/>
            <w:vAlign w:val="bottom"/>
            <w:hideMark/>
          </w:tcPr>
          <w:p w14:paraId="510D3F68"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$13,056,496</w:t>
            </w:r>
          </w:p>
        </w:tc>
        <w:tc>
          <w:tcPr>
            <w:tcW w:w="869" w:type="pct"/>
            <w:noWrap/>
            <w:vAlign w:val="bottom"/>
            <w:hideMark/>
          </w:tcPr>
          <w:p w14:paraId="04466BF3"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$10,562,694</w:t>
            </w:r>
          </w:p>
        </w:tc>
      </w:tr>
      <w:tr w:rsidR="005B2CD6" w:rsidRPr="0060053A" w14:paraId="262AF8D4" w14:textId="77777777" w:rsidTr="005B2CD6">
        <w:trPr>
          <w:trHeight w:val="255"/>
        </w:trPr>
        <w:tc>
          <w:tcPr>
            <w:tcW w:w="705" w:type="pct"/>
            <w:noWrap/>
            <w:vAlign w:val="bottom"/>
            <w:hideMark/>
          </w:tcPr>
          <w:p w14:paraId="74A39DC1"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LTC</w:t>
            </w:r>
          </w:p>
        </w:tc>
        <w:tc>
          <w:tcPr>
            <w:tcW w:w="856" w:type="pct"/>
            <w:noWrap/>
            <w:vAlign w:val="bottom"/>
            <w:hideMark/>
          </w:tcPr>
          <w:p w14:paraId="43E7F53E"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$30,052,373</w:t>
            </w:r>
          </w:p>
        </w:tc>
        <w:tc>
          <w:tcPr>
            <w:tcW w:w="856" w:type="pct"/>
            <w:noWrap/>
            <w:vAlign w:val="bottom"/>
            <w:hideMark/>
          </w:tcPr>
          <w:p w14:paraId="34B81661"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$16,828,370</w:t>
            </w:r>
          </w:p>
        </w:tc>
        <w:tc>
          <w:tcPr>
            <w:tcW w:w="856" w:type="pct"/>
            <w:noWrap/>
            <w:vAlign w:val="bottom"/>
            <w:hideMark/>
          </w:tcPr>
          <w:p w14:paraId="153F4C53"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$18,403,435</w:t>
            </w:r>
          </w:p>
        </w:tc>
        <w:tc>
          <w:tcPr>
            <w:tcW w:w="856" w:type="pct"/>
            <w:noWrap/>
            <w:vAlign w:val="bottom"/>
            <w:hideMark/>
          </w:tcPr>
          <w:p w14:paraId="385FD1C3"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$13,056,496</w:t>
            </w:r>
          </w:p>
        </w:tc>
        <w:tc>
          <w:tcPr>
            <w:tcW w:w="869" w:type="pct"/>
            <w:noWrap/>
            <w:vAlign w:val="bottom"/>
            <w:hideMark/>
          </w:tcPr>
          <w:p w14:paraId="4EFEF5DD"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$10,562,694</w:t>
            </w:r>
          </w:p>
        </w:tc>
      </w:tr>
    </w:tbl>
    <w:p w14:paraId="578187A4" w14:textId="12D93B70" w:rsidR="00446A2A" w:rsidRDefault="00446A2A" w:rsidP="007F06A5">
      <w:pPr>
        <w:spacing w:before="240"/>
      </w:pPr>
      <w:r>
        <w:t xml:space="preserve">Caldwell Parish, </w:t>
      </w:r>
      <w:r w:rsidRPr="00446A2A">
        <w:t>Assessment 1050001430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737"/>
        <w:gridCol w:w="1601"/>
        <w:gridCol w:w="1601"/>
        <w:gridCol w:w="1601"/>
        <w:gridCol w:w="1601"/>
      </w:tblGrid>
      <w:tr w:rsidR="00BE1B59" w:rsidRPr="0060053A" w14:paraId="53BDB5B0" w14:textId="77777777" w:rsidTr="005B2CD6">
        <w:trPr>
          <w:trHeight w:val="255"/>
        </w:trPr>
        <w:tc>
          <w:tcPr>
            <w:tcW w:w="646" w:type="pct"/>
            <w:noWrap/>
            <w:vAlign w:val="bottom"/>
            <w:hideMark/>
          </w:tcPr>
          <w:p w14:paraId="35A7AB4C" w14:textId="6A10DDB9"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 </w:t>
            </w:r>
            <w:r w:rsidR="00446A2A" w:rsidRPr="0060053A">
              <w:rPr>
                <w:rFonts w:ascii="Calibri" w:hAnsi="Calibri" w:cs="Calibri"/>
                <w:b/>
                <w:bCs/>
                <w:sz w:val="24"/>
                <w:szCs w:val="24"/>
              </w:rPr>
              <w:t>Party</w:t>
            </w:r>
          </w:p>
        </w:tc>
        <w:tc>
          <w:tcPr>
            <w:tcW w:w="929" w:type="pct"/>
            <w:noWrap/>
            <w:vAlign w:val="bottom"/>
            <w:hideMark/>
          </w:tcPr>
          <w:p w14:paraId="7C6356D3"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2019</w:t>
            </w:r>
          </w:p>
        </w:tc>
        <w:tc>
          <w:tcPr>
            <w:tcW w:w="856" w:type="pct"/>
            <w:noWrap/>
            <w:vAlign w:val="bottom"/>
            <w:hideMark/>
          </w:tcPr>
          <w:p w14:paraId="0A06E327"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2020</w:t>
            </w:r>
          </w:p>
        </w:tc>
        <w:tc>
          <w:tcPr>
            <w:tcW w:w="856" w:type="pct"/>
            <w:noWrap/>
            <w:vAlign w:val="bottom"/>
            <w:hideMark/>
          </w:tcPr>
          <w:p w14:paraId="45450471"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2021</w:t>
            </w:r>
          </w:p>
        </w:tc>
        <w:tc>
          <w:tcPr>
            <w:tcW w:w="856" w:type="pct"/>
            <w:noWrap/>
            <w:vAlign w:val="bottom"/>
            <w:hideMark/>
          </w:tcPr>
          <w:p w14:paraId="03C84283"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2022</w:t>
            </w:r>
          </w:p>
        </w:tc>
        <w:tc>
          <w:tcPr>
            <w:tcW w:w="856" w:type="pct"/>
            <w:noWrap/>
            <w:vAlign w:val="bottom"/>
            <w:hideMark/>
          </w:tcPr>
          <w:p w14:paraId="34AC5ECD"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2023</w:t>
            </w:r>
          </w:p>
        </w:tc>
      </w:tr>
      <w:tr w:rsidR="00BE1B59" w:rsidRPr="0060053A" w14:paraId="793C57A8" w14:textId="77777777" w:rsidTr="005B2CD6">
        <w:trPr>
          <w:trHeight w:val="255"/>
        </w:trPr>
        <w:tc>
          <w:tcPr>
            <w:tcW w:w="646" w:type="pct"/>
            <w:noWrap/>
            <w:vAlign w:val="bottom"/>
            <w:hideMark/>
          </w:tcPr>
          <w:p w14:paraId="2FF00B43"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Assessor</w:t>
            </w:r>
          </w:p>
        </w:tc>
        <w:tc>
          <w:tcPr>
            <w:tcW w:w="929" w:type="pct"/>
            <w:noWrap/>
            <w:vAlign w:val="bottom"/>
            <w:hideMark/>
          </w:tcPr>
          <w:p w14:paraId="26ECD984"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$100,994,680</w:t>
            </w:r>
          </w:p>
        </w:tc>
        <w:tc>
          <w:tcPr>
            <w:tcW w:w="856" w:type="pct"/>
            <w:noWrap/>
            <w:vAlign w:val="bottom"/>
            <w:hideMark/>
          </w:tcPr>
          <w:p w14:paraId="67615E10"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$95,425,606</w:t>
            </w:r>
          </w:p>
        </w:tc>
        <w:tc>
          <w:tcPr>
            <w:tcW w:w="856" w:type="pct"/>
            <w:noWrap/>
            <w:vAlign w:val="bottom"/>
            <w:hideMark/>
          </w:tcPr>
          <w:p w14:paraId="1D628619"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$95,425,606</w:t>
            </w:r>
          </w:p>
        </w:tc>
        <w:tc>
          <w:tcPr>
            <w:tcW w:w="856" w:type="pct"/>
            <w:noWrap/>
            <w:vAlign w:val="bottom"/>
            <w:hideMark/>
          </w:tcPr>
          <w:p w14:paraId="67BF3157"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$92,826,660</w:t>
            </w:r>
          </w:p>
        </w:tc>
        <w:tc>
          <w:tcPr>
            <w:tcW w:w="856" w:type="pct"/>
            <w:noWrap/>
            <w:vAlign w:val="bottom"/>
            <w:hideMark/>
          </w:tcPr>
          <w:p w14:paraId="2CD4C2A7"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$98,925,336</w:t>
            </w:r>
          </w:p>
        </w:tc>
      </w:tr>
      <w:tr w:rsidR="00BE1B59" w:rsidRPr="0060053A" w14:paraId="5A7E0CFE" w14:textId="77777777" w:rsidTr="005B2CD6">
        <w:trPr>
          <w:trHeight w:val="255"/>
        </w:trPr>
        <w:tc>
          <w:tcPr>
            <w:tcW w:w="646" w:type="pct"/>
            <w:noWrap/>
            <w:vAlign w:val="bottom"/>
            <w:hideMark/>
          </w:tcPr>
          <w:p w14:paraId="1AFBC3D1"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RIG</w:t>
            </w:r>
          </w:p>
        </w:tc>
        <w:tc>
          <w:tcPr>
            <w:tcW w:w="929" w:type="pct"/>
            <w:noWrap/>
            <w:vAlign w:val="bottom"/>
            <w:hideMark/>
          </w:tcPr>
          <w:p w14:paraId="4793DF19"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 </w:t>
            </w:r>
          </w:p>
        </w:tc>
        <w:tc>
          <w:tcPr>
            <w:tcW w:w="856" w:type="pct"/>
            <w:noWrap/>
            <w:vAlign w:val="bottom"/>
            <w:hideMark/>
          </w:tcPr>
          <w:p w14:paraId="0EE2A870"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$64,149,705</w:t>
            </w:r>
          </w:p>
        </w:tc>
        <w:tc>
          <w:tcPr>
            <w:tcW w:w="856" w:type="pct"/>
            <w:noWrap/>
            <w:vAlign w:val="bottom"/>
            <w:hideMark/>
          </w:tcPr>
          <w:p w14:paraId="286488D0"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$69,269,241</w:t>
            </w:r>
          </w:p>
        </w:tc>
        <w:tc>
          <w:tcPr>
            <w:tcW w:w="856" w:type="pct"/>
            <w:noWrap/>
            <w:vAlign w:val="bottom"/>
            <w:hideMark/>
          </w:tcPr>
          <w:p w14:paraId="33E148EA"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$47,372,420</w:t>
            </w:r>
          </w:p>
        </w:tc>
        <w:tc>
          <w:tcPr>
            <w:tcW w:w="856" w:type="pct"/>
            <w:noWrap/>
            <w:vAlign w:val="bottom"/>
            <w:hideMark/>
          </w:tcPr>
          <w:p w14:paraId="64B6F912"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$45,080,869</w:t>
            </w:r>
          </w:p>
        </w:tc>
      </w:tr>
      <w:tr w:rsidR="00BE1B59" w:rsidRPr="0060053A" w14:paraId="54B0EC71" w14:textId="77777777" w:rsidTr="005B2CD6">
        <w:trPr>
          <w:trHeight w:val="255"/>
        </w:trPr>
        <w:tc>
          <w:tcPr>
            <w:tcW w:w="646" w:type="pct"/>
            <w:noWrap/>
            <w:vAlign w:val="bottom"/>
            <w:hideMark/>
          </w:tcPr>
          <w:p w14:paraId="30C543DE" w14:textId="77777777" w:rsidR="00BE1B59" w:rsidRPr="0060053A" w:rsidRDefault="00BE1B59" w:rsidP="005B2CD6">
            <w:pPr>
              <w:spacing w:before="240"/>
              <w:ind w:firstLine="0"/>
              <w:rPr>
                <w:rFonts w:ascii="Calibri" w:hAnsi="Calibri" w:cs="Calibri"/>
                <w:b/>
                <w:bCs/>
                <w:sz w:val="24"/>
                <w:szCs w:val="24"/>
              </w:rPr>
            </w:pPr>
            <w:r w:rsidRPr="0060053A">
              <w:rPr>
                <w:rFonts w:ascii="Calibri" w:hAnsi="Calibri" w:cs="Calibri"/>
                <w:b/>
                <w:bCs/>
                <w:sz w:val="24"/>
                <w:szCs w:val="24"/>
              </w:rPr>
              <w:t>LTC</w:t>
            </w:r>
          </w:p>
        </w:tc>
        <w:tc>
          <w:tcPr>
            <w:tcW w:w="929" w:type="pct"/>
            <w:noWrap/>
            <w:vAlign w:val="bottom"/>
            <w:hideMark/>
          </w:tcPr>
          <w:p w14:paraId="1AC95C17"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$100,994,680</w:t>
            </w:r>
          </w:p>
        </w:tc>
        <w:tc>
          <w:tcPr>
            <w:tcW w:w="856" w:type="pct"/>
            <w:noWrap/>
            <w:vAlign w:val="bottom"/>
            <w:hideMark/>
          </w:tcPr>
          <w:p w14:paraId="39DE99ED"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$58,114,194</w:t>
            </w:r>
          </w:p>
        </w:tc>
        <w:tc>
          <w:tcPr>
            <w:tcW w:w="856" w:type="pct"/>
            <w:noWrap/>
            <w:vAlign w:val="bottom"/>
            <w:hideMark/>
          </w:tcPr>
          <w:p w14:paraId="2BC3DC16"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$63,553,454</w:t>
            </w:r>
          </w:p>
        </w:tc>
        <w:tc>
          <w:tcPr>
            <w:tcW w:w="856" w:type="pct"/>
            <w:noWrap/>
            <w:vAlign w:val="bottom"/>
            <w:hideMark/>
          </w:tcPr>
          <w:p w14:paraId="13DEFA4F"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$47,372,420</w:t>
            </w:r>
          </w:p>
        </w:tc>
        <w:tc>
          <w:tcPr>
            <w:tcW w:w="856" w:type="pct"/>
            <w:noWrap/>
            <w:vAlign w:val="bottom"/>
            <w:hideMark/>
          </w:tcPr>
          <w:p w14:paraId="6C3552A8" w14:textId="77777777" w:rsidR="00BE1B59" w:rsidRPr="0060053A" w:rsidRDefault="00BE1B59" w:rsidP="005B2CD6">
            <w:pPr>
              <w:spacing w:before="240"/>
              <w:ind w:firstLine="0"/>
              <w:rPr>
                <w:rFonts w:ascii="Calibri" w:hAnsi="Calibri" w:cs="Calibri"/>
                <w:sz w:val="24"/>
                <w:szCs w:val="24"/>
              </w:rPr>
            </w:pPr>
            <w:r w:rsidRPr="0060053A">
              <w:rPr>
                <w:rFonts w:ascii="Calibri" w:hAnsi="Calibri" w:cs="Calibri"/>
                <w:sz w:val="24"/>
                <w:szCs w:val="24"/>
              </w:rPr>
              <w:t>$45,080,869</w:t>
            </w:r>
          </w:p>
        </w:tc>
      </w:tr>
    </w:tbl>
    <w:p w14:paraId="349590C9" w14:textId="2B3D2736" w:rsidR="00446A2A" w:rsidRDefault="005B2CD6" w:rsidP="007F06A5">
      <w:pPr>
        <w:spacing w:before="240"/>
      </w:pPr>
      <w:r>
        <w:br w:type="page"/>
      </w:r>
      <w:r w:rsidR="00446A2A">
        <w:t>Caldwell Parish, Totals: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553"/>
        <w:gridCol w:w="1618"/>
        <w:gridCol w:w="1618"/>
        <w:gridCol w:w="1602"/>
        <w:gridCol w:w="1619"/>
      </w:tblGrid>
      <w:tr w:rsidR="0060053A" w:rsidRPr="0060053A" w14:paraId="4209709C" w14:textId="77777777" w:rsidTr="0060053A">
        <w:trPr>
          <w:trHeight w:val="255"/>
        </w:trPr>
        <w:tc>
          <w:tcPr>
            <w:tcW w:w="719" w:type="pct"/>
            <w:noWrap/>
            <w:vAlign w:val="bottom"/>
            <w:hideMark/>
          </w:tcPr>
          <w:p w14:paraId="2D924B29" w14:textId="6CF90C81" w:rsidR="00BE1B59" w:rsidRPr="0060053A" w:rsidRDefault="00BE1B59" w:rsidP="0060053A">
            <w:pPr>
              <w:spacing w:before="240"/>
              <w:ind w:firstLine="0"/>
              <w:rPr>
                <w:rFonts w:ascii="Calibri" w:hAnsi="Calibri" w:cs="Calibri"/>
                <w:b/>
                <w:bCs/>
                <w:sz w:val="24"/>
                <w:szCs w:val="24"/>
              </w:rPr>
            </w:pPr>
            <w:r w:rsidRPr="0060053A">
              <w:rPr>
                <w:rFonts w:ascii="Calibri" w:hAnsi="Calibri" w:cs="Calibri"/>
                <w:b/>
                <w:bCs/>
                <w:sz w:val="24"/>
                <w:szCs w:val="24"/>
              </w:rPr>
              <w:t> </w:t>
            </w:r>
            <w:r w:rsidR="00446A2A" w:rsidRPr="0060053A">
              <w:rPr>
                <w:rFonts w:ascii="Calibri" w:hAnsi="Calibri" w:cs="Calibri"/>
                <w:b/>
                <w:bCs/>
                <w:sz w:val="24"/>
                <w:szCs w:val="24"/>
              </w:rPr>
              <w:t>Party</w:t>
            </w:r>
          </w:p>
        </w:tc>
        <w:tc>
          <w:tcPr>
            <w:tcW w:w="818" w:type="pct"/>
            <w:noWrap/>
            <w:vAlign w:val="bottom"/>
            <w:hideMark/>
          </w:tcPr>
          <w:p w14:paraId="605A268B" w14:textId="77777777" w:rsidR="00BE1B59" w:rsidRPr="0060053A" w:rsidRDefault="00BE1B59" w:rsidP="0060053A">
            <w:pPr>
              <w:spacing w:before="240"/>
              <w:ind w:firstLine="0"/>
              <w:rPr>
                <w:rFonts w:ascii="Calibri" w:hAnsi="Calibri" w:cs="Calibri"/>
                <w:b/>
                <w:bCs/>
                <w:sz w:val="24"/>
                <w:szCs w:val="24"/>
              </w:rPr>
            </w:pPr>
            <w:r w:rsidRPr="0060053A">
              <w:rPr>
                <w:rFonts w:ascii="Calibri" w:hAnsi="Calibri" w:cs="Calibri"/>
                <w:b/>
                <w:bCs/>
                <w:sz w:val="24"/>
                <w:szCs w:val="24"/>
              </w:rPr>
              <w:t>2019</w:t>
            </w:r>
          </w:p>
        </w:tc>
        <w:tc>
          <w:tcPr>
            <w:tcW w:w="868" w:type="pct"/>
            <w:noWrap/>
            <w:vAlign w:val="bottom"/>
            <w:hideMark/>
          </w:tcPr>
          <w:p w14:paraId="7D857EFE" w14:textId="77777777" w:rsidR="00BE1B59" w:rsidRPr="0060053A" w:rsidRDefault="00BE1B59" w:rsidP="0060053A">
            <w:pPr>
              <w:spacing w:before="240"/>
              <w:ind w:firstLine="0"/>
              <w:rPr>
                <w:rFonts w:ascii="Calibri" w:hAnsi="Calibri" w:cs="Calibri"/>
                <w:b/>
                <w:bCs/>
                <w:sz w:val="24"/>
                <w:szCs w:val="24"/>
              </w:rPr>
            </w:pPr>
            <w:r w:rsidRPr="0060053A">
              <w:rPr>
                <w:rFonts w:ascii="Calibri" w:hAnsi="Calibri" w:cs="Calibri"/>
                <w:b/>
                <w:bCs/>
                <w:sz w:val="24"/>
                <w:szCs w:val="24"/>
              </w:rPr>
              <w:t>2020</w:t>
            </w:r>
          </w:p>
        </w:tc>
        <w:tc>
          <w:tcPr>
            <w:tcW w:w="868" w:type="pct"/>
            <w:noWrap/>
            <w:vAlign w:val="bottom"/>
            <w:hideMark/>
          </w:tcPr>
          <w:p w14:paraId="0565CC5D" w14:textId="77777777" w:rsidR="00BE1B59" w:rsidRPr="0060053A" w:rsidRDefault="00BE1B59" w:rsidP="0060053A">
            <w:pPr>
              <w:spacing w:before="240"/>
              <w:ind w:firstLine="0"/>
              <w:rPr>
                <w:rFonts w:ascii="Calibri" w:hAnsi="Calibri" w:cs="Calibri"/>
                <w:b/>
                <w:bCs/>
                <w:sz w:val="24"/>
                <w:szCs w:val="24"/>
              </w:rPr>
            </w:pPr>
            <w:r w:rsidRPr="0060053A">
              <w:rPr>
                <w:rFonts w:ascii="Calibri" w:hAnsi="Calibri" w:cs="Calibri"/>
                <w:b/>
                <w:bCs/>
                <w:sz w:val="24"/>
                <w:szCs w:val="24"/>
              </w:rPr>
              <w:t>2021</w:t>
            </w:r>
          </w:p>
        </w:tc>
        <w:tc>
          <w:tcPr>
            <w:tcW w:w="859" w:type="pct"/>
            <w:noWrap/>
            <w:vAlign w:val="bottom"/>
            <w:hideMark/>
          </w:tcPr>
          <w:p w14:paraId="2D5DC974" w14:textId="77777777" w:rsidR="00BE1B59" w:rsidRPr="0060053A" w:rsidRDefault="00BE1B59" w:rsidP="0060053A">
            <w:pPr>
              <w:spacing w:before="240"/>
              <w:ind w:firstLine="0"/>
              <w:rPr>
                <w:rFonts w:ascii="Calibri" w:hAnsi="Calibri" w:cs="Calibri"/>
                <w:b/>
                <w:bCs/>
                <w:sz w:val="24"/>
                <w:szCs w:val="24"/>
              </w:rPr>
            </w:pPr>
            <w:r w:rsidRPr="0060053A">
              <w:rPr>
                <w:rFonts w:ascii="Calibri" w:hAnsi="Calibri" w:cs="Calibri"/>
                <w:b/>
                <w:bCs/>
                <w:sz w:val="24"/>
                <w:szCs w:val="24"/>
              </w:rPr>
              <w:t>2022</w:t>
            </w:r>
          </w:p>
        </w:tc>
        <w:tc>
          <w:tcPr>
            <w:tcW w:w="868" w:type="pct"/>
            <w:noWrap/>
            <w:vAlign w:val="bottom"/>
            <w:hideMark/>
          </w:tcPr>
          <w:p w14:paraId="02062D6D" w14:textId="77777777" w:rsidR="00BE1B59" w:rsidRPr="0060053A" w:rsidRDefault="00BE1B59" w:rsidP="0060053A">
            <w:pPr>
              <w:spacing w:before="240"/>
              <w:ind w:firstLine="0"/>
              <w:rPr>
                <w:rFonts w:ascii="Calibri" w:hAnsi="Calibri" w:cs="Calibri"/>
                <w:b/>
                <w:bCs/>
                <w:sz w:val="24"/>
                <w:szCs w:val="24"/>
              </w:rPr>
            </w:pPr>
            <w:r w:rsidRPr="0060053A">
              <w:rPr>
                <w:rFonts w:ascii="Calibri" w:hAnsi="Calibri" w:cs="Calibri"/>
                <w:b/>
                <w:bCs/>
                <w:sz w:val="24"/>
                <w:szCs w:val="24"/>
              </w:rPr>
              <w:t>2023</w:t>
            </w:r>
          </w:p>
        </w:tc>
      </w:tr>
      <w:tr w:rsidR="0060053A" w:rsidRPr="0060053A" w14:paraId="003E0C11" w14:textId="77777777" w:rsidTr="0060053A">
        <w:trPr>
          <w:trHeight w:val="255"/>
        </w:trPr>
        <w:tc>
          <w:tcPr>
            <w:tcW w:w="719" w:type="pct"/>
            <w:noWrap/>
            <w:vAlign w:val="bottom"/>
            <w:hideMark/>
          </w:tcPr>
          <w:p w14:paraId="7F31EB7C" w14:textId="77777777" w:rsidR="00BE1B59" w:rsidRPr="0060053A" w:rsidRDefault="00BE1B59" w:rsidP="0060053A">
            <w:pPr>
              <w:spacing w:before="240"/>
              <w:ind w:firstLine="0"/>
              <w:rPr>
                <w:rFonts w:ascii="Calibri" w:hAnsi="Calibri" w:cs="Calibri"/>
                <w:b/>
                <w:bCs/>
                <w:sz w:val="24"/>
                <w:szCs w:val="24"/>
              </w:rPr>
            </w:pPr>
            <w:r w:rsidRPr="0060053A">
              <w:rPr>
                <w:rFonts w:ascii="Calibri" w:hAnsi="Calibri" w:cs="Calibri"/>
                <w:b/>
                <w:bCs/>
                <w:sz w:val="24"/>
                <w:szCs w:val="24"/>
              </w:rPr>
              <w:t>Assessor</w:t>
            </w:r>
          </w:p>
        </w:tc>
        <w:tc>
          <w:tcPr>
            <w:tcW w:w="818" w:type="pct"/>
            <w:noWrap/>
            <w:vAlign w:val="bottom"/>
            <w:hideMark/>
          </w:tcPr>
          <w:p w14:paraId="3923EA96"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$131,047,053</w:t>
            </w:r>
          </w:p>
        </w:tc>
        <w:tc>
          <w:tcPr>
            <w:tcW w:w="868" w:type="pct"/>
            <w:noWrap/>
            <w:vAlign w:val="bottom"/>
            <w:hideMark/>
          </w:tcPr>
          <w:p w14:paraId="31EB3DC2"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$123,058,397</w:t>
            </w:r>
          </w:p>
        </w:tc>
        <w:tc>
          <w:tcPr>
            <w:tcW w:w="868" w:type="pct"/>
            <w:noWrap/>
            <w:vAlign w:val="bottom"/>
            <w:hideMark/>
          </w:tcPr>
          <w:p w14:paraId="28ACF6F9"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$123,058,392</w:t>
            </w:r>
          </w:p>
        </w:tc>
        <w:tc>
          <w:tcPr>
            <w:tcW w:w="859" w:type="pct"/>
            <w:noWrap/>
            <w:vAlign w:val="bottom"/>
            <w:hideMark/>
          </w:tcPr>
          <w:p w14:paraId="0E8B6A7A"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$117,933,526</w:t>
            </w:r>
          </w:p>
        </w:tc>
        <w:tc>
          <w:tcPr>
            <w:tcW w:w="868" w:type="pct"/>
            <w:noWrap/>
            <w:vAlign w:val="bottom"/>
            <w:hideMark/>
          </w:tcPr>
          <w:p w14:paraId="158090C1"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$122,104,082</w:t>
            </w:r>
          </w:p>
        </w:tc>
      </w:tr>
      <w:tr w:rsidR="0060053A" w:rsidRPr="0060053A" w14:paraId="5A60633C" w14:textId="77777777" w:rsidTr="0060053A">
        <w:trPr>
          <w:trHeight w:val="255"/>
        </w:trPr>
        <w:tc>
          <w:tcPr>
            <w:tcW w:w="719" w:type="pct"/>
            <w:noWrap/>
            <w:vAlign w:val="bottom"/>
            <w:hideMark/>
          </w:tcPr>
          <w:p w14:paraId="67619462" w14:textId="77777777" w:rsidR="00BE1B59" w:rsidRPr="0060053A" w:rsidRDefault="00BE1B59" w:rsidP="0060053A">
            <w:pPr>
              <w:spacing w:before="240"/>
              <w:ind w:firstLine="0"/>
              <w:rPr>
                <w:rFonts w:ascii="Calibri" w:hAnsi="Calibri" w:cs="Calibri"/>
                <w:b/>
                <w:bCs/>
                <w:sz w:val="24"/>
                <w:szCs w:val="24"/>
              </w:rPr>
            </w:pPr>
            <w:r w:rsidRPr="0060053A">
              <w:rPr>
                <w:rFonts w:ascii="Calibri" w:hAnsi="Calibri" w:cs="Calibri"/>
                <w:b/>
                <w:bCs/>
                <w:sz w:val="24"/>
                <w:szCs w:val="24"/>
              </w:rPr>
              <w:t>RIG</w:t>
            </w:r>
          </w:p>
        </w:tc>
        <w:tc>
          <w:tcPr>
            <w:tcW w:w="818" w:type="pct"/>
            <w:noWrap/>
            <w:vAlign w:val="bottom"/>
            <w:hideMark/>
          </w:tcPr>
          <w:p w14:paraId="258653E3"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$87,505,626</w:t>
            </w:r>
          </w:p>
        </w:tc>
        <w:tc>
          <w:tcPr>
            <w:tcW w:w="868" w:type="pct"/>
            <w:noWrap/>
            <w:vAlign w:val="bottom"/>
            <w:hideMark/>
          </w:tcPr>
          <w:p w14:paraId="2D4CFCFD"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$82,119,167</w:t>
            </w:r>
          </w:p>
        </w:tc>
        <w:tc>
          <w:tcPr>
            <w:tcW w:w="868" w:type="pct"/>
            <w:noWrap/>
            <w:vAlign w:val="bottom"/>
            <w:hideMark/>
          </w:tcPr>
          <w:p w14:paraId="7D92415C"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$86,561,581</w:t>
            </w:r>
          </w:p>
        </w:tc>
        <w:tc>
          <w:tcPr>
            <w:tcW w:w="859" w:type="pct"/>
            <w:noWrap/>
            <w:vAlign w:val="bottom"/>
            <w:hideMark/>
          </w:tcPr>
          <w:p w14:paraId="6EE26340"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$60,428,916</w:t>
            </w:r>
          </w:p>
        </w:tc>
        <w:tc>
          <w:tcPr>
            <w:tcW w:w="868" w:type="pct"/>
            <w:noWrap/>
            <w:vAlign w:val="bottom"/>
            <w:hideMark/>
          </w:tcPr>
          <w:p w14:paraId="7E067FC3"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$55,643,563</w:t>
            </w:r>
          </w:p>
        </w:tc>
      </w:tr>
      <w:tr w:rsidR="0060053A" w:rsidRPr="0060053A" w14:paraId="69B4B814" w14:textId="77777777" w:rsidTr="0060053A">
        <w:trPr>
          <w:trHeight w:val="255"/>
        </w:trPr>
        <w:tc>
          <w:tcPr>
            <w:tcW w:w="719" w:type="pct"/>
            <w:noWrap/>
            <w:vAlign w:val="bottom"/>
            <w:hideMark/>
          </w:tcPr>
          <w:p w14:paraId="3ECBD754" w14:textId="77777777" w:rsidR="00BE1B59" w:rsidRPr="0060053A" w:rsidRDefault="00BE1B59" w:rsidP="0060053A">
            <w:pPr>
              <w:spacing w:before="240"/>
              <w:ind w:firstLine="0"/>
              <w:rPr>
                <w:rFonts w:ascii="Calibri" w:hAnsi="Calibri" w:cs="Calibri"/>
                <w:b/>
                <w:bCs/>
                <w:sz w:val="24"/>
                <w:szCs w:val="24"/>
              </w:rPr>
            </w:pPr>
            <w:r w:rsidRPr="0060053A">
              <w:rPr>
                <w:rFonts w:ascii="Calibri" w:hAnsi="Calibri" w:cs="Calibri"/>
                <w:b/>
                <w:bCs/>
                <w:sz w:val="24"/>
                <w:szCs w:val="24"/>
              </w:rPr>
              <w:t>LTC</w:t>
            </w:r>
          </w:p>
        </w:tc>
        <w:tc>
          <w:tcPr>
            <w:tcW w:w="818" w:type="pct"/>
            <w:noWrap/>
            <w:vAlign w:val="bottom"/>
            <w:hideMark/>
          </w:tcPr>
          <w:p w14:paraId="2D1085E3"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$131,047,053</w:t>
            </w:r>
          </w:p>
        </w:tc>
        <w:tc>
          <w:tcPr>
            <w:tcW w:w="868" w:type="pct"/>
            <w:noWrap/>
            <w:vAlign w:val="bottom"/>
            <w:hideMark/>
          </w:tcPr>
          <w:p w14:paraId="6DED1D2B"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$74,942,564</w:t>
            </w:r>
          </w:p>
        </w:tc>
        <w:tc>
          <w:tcPr>
            <w:tcW w:w="868" w:type="pct"/>
            <w:noWrap/>
            <w:vAlign w:val="bottom"/>
            <w:hideMark/>
          </w:tcPr>
          <w:p w14:paraId="3C84F44E"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$81,956,889</w:t>
            </w:r>
          </w:p>
        </w:tc>
        <w:tc>
          <w:tcPr>
            <w:tcW w:w="859" w:type="pct"/>
            <w:noWrap/>
            <w:vAlign w:val="bottom"/>
            <w:hideMark/>
          </w:tcPr>
          <w:p w14:paraId="539D2D93"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$60,428,916</w:t>
            </w:r>
          </w:p>
        </w:tc>
        <w:tc>
          <w:tcPr>
            <w:tcW w:w="868" w:type="pct"/>
            <w:noWrap/>
            <w:vAlign w:val="bottom"/>
            <w:hideMark/>
          </w:tcPr>
          <w:p w14:paraId="4FEA470E" w14:textId="77777777" w:rsidR="00BE1B59" w:rsidRPr="0060053A" w:rsidRDefault="00BE1B59" w:rsidP="0060053A">
            <w:pPr>
              <w:spacing w:before="240"/>
              <w:ind w:firstLine="0"/>
              <w:rPr>
                <w:rFonts w:ascii="Calibri" w:hAnsi="Calibri" w:cs="Calibri"/>
                <w:sz w:val="24"/>
                <w:szCs w:val="24"/>
              </w:rPr>
            </w:pPr>
            <w:r w:rsidRPr="0060053A">
              <w:rPr>
                <w:rFonts w:ascii="Calibri" w:hAnsi="Calibri" w:cs="Calibri"/>
                <w:sz w:val="24"/>
                <w:szCs w:val="24"/>
              </w:rPr>
              <w:t>$55,643,563</w:t>
            </w:r>
          </w:p>
        </w:tc>
      </w:tr>
    </w:tbl>
    <w:p w14:paraId="099D2912" w14:textId="271AE897" w:rsidR="00A7059D" w:rsidRPr="00446A2A" w:rsidRDefault="00446A2A" w:rsidP="007F06A5">
      <w:pPr>
        <w:spacing w:before="240"/>
        <w:rPr>
          <w:rFonts w:ascii="Calibri" w:hAnsi="Calibri" w:cs="Calibri"/>
          <w:sz w:val="24"/>
          <w:szCs w:val="24"/>
        </w:rPr>
      </w:pPr>
      <w:r>
        <w:t>Franklin</w:t>
      </w:r>
      <w:r>
        <w:t xml:space="preserve"> Parish, </w:t>
      </w:r>
      <w:r w:rsidRPr="00446A2A">
        <w:t>Assessment</w:t>
      </w:r>
      <w:r>
        <w:t xml:space="preserve"> </w:t>
      </w:r>
      <w:r w:rsidRPr="00446A2A">
        <w:t>1800004801</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58"/>
        <w:gridCol w:w="1618"/>
        <w:gridCol w:w="1619"/>
        <w:gridCol w:w="1618"/>
        <w:gridCol w:w="1618"/>
        <w:gridCol w:w="1619"/>
      </w:tblGrid>
      <w:tr w:rsidR="00BE1B59" w:rsidRPr="00446A2A" w14:paraId="6D6C0C4F" w14:textId="77777777" w:rsidTr="007F06A5">
        <w:trPr>
          <w:trHeight w:val="255"/>
        </w:trPr>
        <w:tc>
          <w:tcPr>
            <w:tcW w:w="673" w:type="pct"/>
            <w:noWrap/>
            <w:vAlign w:val="bottom"/>
            <w:hideMark/>
          </w:tcPr>
          <w:p w14:paraId="2D75F734" w14:textId="56684C7C"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 </w:t>
            </w:r>
            <w:r w:rsidR="00446A2A" w:rsidRPr="007F06A5">
              <w:rPr>
                <w:rFonts w:ascii="Calibri" w:hAnsi="Calibri" w:cs="Calibri"/>
                <w:b/>
                <w:bCs/>
                <w:sz w:val="24"/>
                <w:szCs w:val="24"/>
              </w:rPr>
              <w:t> Party</w:t>
            </w:r>
          </w:p>
        </w:tc>
        <w:tc>
          <w:tcPr>
            <w:tcW w:w="865" w:type="pct"/>
            <w:noWrap/>
            <w:vAlign w:val="bottom"/>
            <w:hideMark/>
          </w:tcPr>
          <w:p w14:paraId="21993E2A"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6" w:type="pct"/>
            <w:noWrap/>
            <w:vAlign w:val="bottom"/>
            <w:hideMark/>
          </w:tcPr>
          <w:p w14:paraId="0EF2948C"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5" w:type="pct"/>
            <w:noWrap/>
            <w:vAlign w:val="bottom"/>
            <w:hideMark/>
          </w:tcPr>
          <w:p w14:paraId="0B3976AF"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5" w:type="pct"/>
            <w:noWrap/>
            <w:vAlign w:val="bottom"/>
            <w:hideMark/>
          </w:tcPr>
          <w:p w14:paraId="368AD76A"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6" w:type="pct"/>
            <w:noWrap/>
            <w:vAlign w:val="bottom"/>
            <w:hideMark/>
          </w:tcPr>
          <w:p w14:paraId="0776CE0F"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7FE869A7" w14:textId="77777777" w:rsidTr="007F06A5">
        <w:trPr>
          <w:trHeight w:val="255"/>
        </w:trPr>
        <w:tc>
          <w:tcPr>
            <w:tcW w:w="673" w:type="pct"/>
            <w:noWrap/>
            <w:vAlign w:val="bottom"/>
            <w:hideMark/>
          </w:tcPr>
          <w:p w14:paraId="65211F45"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865" w:type="pct"/>
            <w:noWrap/>
            <w:vAlign w:val="bottom"/>
            <w:hideMark/>
          </w:tcPr>
          <w:p w14:paraId="42B97B8C"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$22,701,479</w:t>
            </w:r>
          </w:p>
        </w:tc>
        <w:tc>
          <w:tcPr>
            <w:tcW w:w="866" w:type="pct"/>
            <w:noWrap/>
            <w:vAlign w:val="bottom"/>
            <w:hideMark/>
          </w:tcPr>
          <w:p w14:paraId="60C58FC3"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$22,334,933</w:t>
            </w:r>
          </w:p>
        </w:tc>
        <w:tc>
          <w:tcPr>
            <w:tcW w:w="865" w:type="pct"/>
            <w:noWrap/>
            <w:vAlign w:val="bottom"/>
            <w:hideMark/>
          </w:tcPr>
          <w:p w14:paraId="162906E1"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$21,878,766</w:t>
            </w:r>
          </w:p>
        </w:tc>
        <w:tc>
          <w:tcPr>
            <w:tcW w:w="865" w:type="pct"/>
            <w:noWrap/>
            <w:vAlign w:val="bottom"/>
            <w:hideMark/>
          </w:tcPr>
          <w:p w14:paraId="3EF9B3D0"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$21,317,213</w:t>
            </w:r>
          </w:p>
        </w:tc>
        <w:tc>
          <w:tcPr>
            <w:tcW w:w="866" w:type="pct"/>
            <w:noWrap/>
            <w:vAlign w:val="bottom"/>
            <w:hideMark/>
          </w:tcPr>
          <w:p w14:paraId="0C7416BF"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$22,821,788</w:t>
            </w:r>
          </w:p>
        </w:tc>
      </w:tr>
      <w:tr w:rsidR="00BE1B59" w:rsidRPr="00446A2A" w14:paraId="43434FFB" w14:textId="77777777" w:rsidTr="007F06A5">
        <w:trPr>
          <w:trHeight w:val="255"/>
        </w:trPr>
        <w:tc>
          <w:tcPr>
            <w:tcW w:w="673" w:type="pct"/>
            <w:noWrap/>
            <w:vAlign w:val="bottom"/>
            <w:hideMark/>
          </w:tcPr>
          <w:p w14:paraId="122A2D99"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865" w:type="pct"/>
            <w:noWrap/>
            <w:vAlign w:val="bottom"/>
            <w:hideMark/>
          </w:tcPr>
          <w:p w14:paraId="7723F8DB"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 </w:t>
            </w:r>
          </w:p>
        </w:tc>
        <w:tc>
          <w:tcPr>
            <w:tcW w:w="866" w:type="pct"/>
            <w:noWrap/>
            <w:vAlign w:val="bottom"/>
            <w:hideMark/>
          </w:tcPr>
          <w:p w14:paraId="3A0EE531"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$14,517,706</w:t>
            </w:r>
          </w:p>
        </w:tc>
        <w:tc>
          <w:tcPr>
            <w:tcW w:w="865" w:type="pct"/>
            <w:noWrap/>
            <w:vAlign w:val="bottom"/>
            <w:hideMark/>
          </w:tcPr>
          <w:p w14:paraId="687B578C"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$15,790,764</w:t>
            </w:r>
          </w:p>
        </w:tc>
        <w:tc>
          <w:tcPr>
            <w:tcW w:w="865" w:type="pct"/>
            <w:noWrap/>
            <w:vAlign w:val="bottom"/>
            <w:hideMark/>
          </w:tcPr>
          <w:p w14:paraId="5EDA9263"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$10,878,858</w:t>
            </w:r>
          </w:p>
        </w:tc>
        <w:tc>
          <w:tcPr>
            <w:tcW w:w="866" w:type="pct"/>
            <w:noWrap/>
            <w:vAlign w:val="bottom"/>
            <w:hideMark/>
          </w:tcPr>
          <w:p w14:paraId="022EDBD3"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$10,400,026</w:t>
            </w:r>
          </w:p>
        </w:tc>
      </w:tr>
      <w:tr w:rsidR="00BE1B59" w:rsidRPr="00446A2A" w14:paraId="3FF0E2EA" w14:textId="77777777" w:rsidTr="007F06A5">
        <w:trPr>
          <w:trHeight w:val="255"/>
        </w:trPr>
        <w:tc>
          <w:tcPr>
            <w:tcW w:w="673" w:type="pct"/>
            <w:noWrap/>
            <w:vAlign w:val="bottom"/>
            <w:hideMark/>
          </w:tcPr>
          <w:p w14:paraId="08601FB0"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865" w:type="pct"/>
            <w:noWrap/>
            <w:vAlign w:val="bottom"/>
            <w:hideMark/>
          </w:tcPr>
          <w:p w14:paraId="6AAC4BB2"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$22,701,479</w:t>
            </w:r>
          </w:p>
        </w:tc>
        <w:tc>
          <w:tcPr>
            <w:tcW w:w="866" w:type="pct"/>
            <w:noWrap/>
            <w:vAlign w:val="bottom"/>
            <w:hideMark/>
          </w:tcPr>
          <w:p w14:paraId="6EE0E4AC"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$13,601,974</w:t>
            </w:r>
          </w:p>
        </w:tc>
        <w:tc>
          <w:tcPr>
            <w:tcW w:w="865" w:type="pct"/>
            <w:noWrap/>
            <w:vAlign w:val="bottom"/>
            <w:hideMark/>
          </w:tcPr>
          <w:p w14:paraId="44B181BC"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$14,571,258</w:t>
            </w:r>
          </w:p>
        </w:tc>
        <w:tc>
          <w:tcPr>
            <w:tcW w:w="865" w:type="pct"/>
            <w:noWrap/>
            <w:vAlign w:val="bottom"/>
            <w:hideMark/>
          </w:tcPr>
          <w:p w14:paraId="68CAEED3"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$10,878,858</w:t>
            </w:r>
          </w:p>
        </w:tc>
        <w:tc>
          <w:tcPr>
            <w:tcW w:w="866" w:type="pct"/>
            <w:noWrap/>
            <w:vAlign w:val="bottom"/>
            <w:hideMark/>
          </w:tcPr>
          <w:p w14:paraId="4C38F336"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$10,400,026</w:t>
            </w:r>
          </w:p>
        </w:tc>
      </w:tr>
    </w:tbl>
    <w:p w14:paraId="2C6BCC28" w14:textId="68A2F059" w:rsidR="00446A2A" w:rsidRPr="00446A2A" w:rsidRDefault="00446A2A" w:rsidP="007F06A5">
      <w:pPr>
        <w:spacing w:before="240"/>
        <w:rPr>
          <w:rFonts w:ascii="Calibri" w:hAnsi="Calibri" w:cs="Calibri"/>
          <w:sz w:val="24"/>
          <w:szCs w:val="24"/>
        </w:rPr>
      </w:pPr>
      <w:r>
        <w:lastRenderedPageBreak/>
        <w:t xml:space="preserve">Franklin Parish, </w:t>
      </w:r>
      <w:r w:rsidRPr="00446A2A">
        <w:t>Assessment</w:t>
      </w:r>
      <w:r>
        <w:t xml:space="preserve"> </w:t>
      </w:r>
      <w:r w:rsidR="007F06A5" w:rsidRPr="007F06A5">
        <w:t>1800004800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59"/>
        <w:gridCol w:w="1618"/>
        <w:gridCol w:w="1619"/>
        <w:gridCol w:w="1618"/>
        <w:gridCol w:w="1618"/>
        <w:gridCol w:w="1618"/>
      </w:tblGrid>
      <w:tr w:rsidR="00BE1B59" w:rsidRPr="00446A2A" w14:paraId="16B9EF37" w14:textId="77777777" w:rsidTr="007F06A5">
        <w:trPr>
          <w:trHeight w:val="255"/>
        </w:trPr>
        <w:tc>
          <w:tcPr>
            <w:tcW w:w="673" w:type="pct"/>
            <w:noWrap/>
            <w:vAlign w:val="bottom"/>
            <w:hideMark/>
          </w:tcPr>
          <w:p w14:paraId="2E75B700" w14:textId="7A4B228F"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 </w:t>
            </w:r>
            <w:r w:rsidR="00446A2A" w:rsidRPr="00446A2A">
              <w:rPr>
                <w:rFonts w:ascii="Calibri" w:hAnsi="Calibri" w:cs="Calibri"/>
                <w:b/>
                <w:bCs/>
                <w:sz w:val="24"/>
                <w:szCs w:val="24"/>
              </w:rPr>
              <w:t> Party</w:t>
            </w:r>
          </w:p>
        </w:tc>
        <w:tc>
          <w:tcPr>
            <w:tcW w:w="865" w:type="pct"/>
            <w:noWrap/>
            <w:vAlign w:val="bottom"/>
            <w:hideMark/>
          </w:tcPr>
          <w:p w14:paraId="74FA40AE"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6" w:type="pct"/>
            <w:noWrap/>
            <w:vAlign w:val="bottom"/>
            <w:hideMark/>
          </w:tcPr>
          <w:p w14:paraId="3F905091"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5" w:type="pct"/>
            <w:noWrap/>
            <w:vAlign w:val="bottom"/>
            <w:hideMark/>
          </w:tcPr>
          <w:p w14:paraId="1E6FA02C"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5" w:type="pct"/>
            <w:noWrap/>
            <w:vAlign w:val="bottom"/>
            <w:hideMark/>
          </w:tcPr>
          <w:p w14:paraId="3B607520"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5" w:type="pct"/>
            <w:noWrap/>
            <w:vAlign w:val="bottom"/>
            <w:hideMark/>
          </w:tcPr>
          <w:p w14:paraId="7E7A2EDA"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3D1FDD34" w14:textId="77777777" w:rsidTr="007F06A5">
        <w:trPr>
          <w:trHeight w:val="255"/>
        </w:trPr>
        <w:tc>
          <w:tcPr>
            <w:tcW w:w="673" w:type="pct"/>
            <w:noWrap/>
            <w:vAlign w:val="bottom"/>
            <w:hideMark/>
          </w:tcPr>
          <w:p w14:paraId="761ACA5F"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865" w:type="pct"/>
            <w:noWrap/>
            <w:vAlign w:val="bottom"/>
            <w:hideMark/>
          </w:tcPr>
          <w:p w14:paraId="7CD2A3F5"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$6,645,132</w:t>
            </w:r>
          </w:p>
        </w:tc>
        <w:tc>
          <w:tcPr>
            <w:tcW w:w="866" w:type="pct"/>
            <w:noWrap/>
            <w:vAlign w:val="bottom"/>
            <w:hideMark/>
          </w:tcPr>
          <w:p w14:paraId="37E8DB2D"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$6,355,000</w:t>
            </w:r>
          </w:p>
        </w:tc>
        <w:tc>
          <w:tcPr>
            <w:tcW w:w="865" w:type="pct"/>
            <w:noWrap/>
            <w:vAlign w:val="bottom"/>
            <w:hideMark/>
          </w:tcPr>
          <w:p w14:paraId="7B2D19D9"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$5,992,241</w:t>
            </w:r>
          </w:p>
        </w:tc>
        <w:tc>
          <w:tcPr>
            <w:tcW w:w="865" w:type="pct"/>
            <w:noWrap/>
            <w:vAlign w:val="bottom"/>
            <w:hideMark/>
          </w:tcPr>
          <w:p w14:paraId="0C458522"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$5,630,627</w:t>
            </w:r>
          </w:p>
        </w:tc>
        <w:tc>
          <w:tcPr>
            <w:tcW w:w="865" w:type="pct"/>
            <w:noWrap/>
            <w:vAlign w:val="bottom"/>
            <w:hideMark/>
          </w:tcPr>
          <w:p w14:paraId="62112106"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$5,890,685</w:t>
            </w:r>
          </w:p>
        </w:tc>
      </w:tr>
      <w:tr w:rsidR="00BE1B59" w:rsidRPr="00446A2A" w14:paraId="02B66C1A" w14:textId="77777777" w:rsidTr="007F06A5">
        <w:trPr>
          <w:trHeight w:val="255"/>
        </w:trPr>
        <w:tc>
          <w:tcPr>
            <w:tcW w:w="673" w:type="pct"/>
            <w:noWrap/>
            <w:vAlign w:val="bottom"/>
            <w:hideMark/>
          </w:tcPr>
          <w:p w14:paraId="0A75F719"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865" w:type="pct"/>
            <w:noWrap/>
            <w:vAlign w:val="bottom"/>
            <w:hideMark/>
          </w:tcPr>
          <w:p w14:paraId="6A954070"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 </w:t>
            </w:r>
          </w:p>
        </w:tc>
        <w:tc>
          <w:tcPr>
            <w:tcW w:w="866" w:type="pct"/>
            <w:noWrap/>
            <w:vAlign w:val="bottom"/>
            <w:hideMark/>
          </w:tcPr>
          <w:p w14:paraId="7AD5F807"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$4,130,750</w:t>
            </w:r>
          </w:p>
        </w:tc>
        <w:tc>
          <w:tcPr>
            <w:tcW w:w="865" w:type="pct"/>
            <w:noWrap/>
            <w:vAlign w:val="bottom"/>
            <w:hideMark/>
          </w:tcPr>
          <w:p w14:paraId="7D992198"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$4,324,835</w:t>
            </w:r>
          </w:p>
        </w:tc>
        <w:tc>
          <w:tcPr>
            <w:tcW w:w="865" w:type="pct"/>
            <w:noWrap/>
            <w:vAlign w:val="bottom"/>
            <w:hideMark/>
          </w:tcPr>
          <w:p w14:paraId="76AACA90"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$2,873,491</w:t>
            </w:r>
          </w:p>
        </w:tc>
        <w:tc>
          <w:tcPr>
            <w:tcW w:w="865" w:type="pct"/>
            <w:noWrap/>
            <w:vAlign w:val="bottom"/>
            <w:hideMark/>
          </w:tcPr>
          <w:p w14:paraId="1129EA61"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$2,684,420</w:t>
            </w:r>
          </w:p>
        </w:tc>
      </w:tr>
      <w:tr w:rsidR="00BE1B59" w:rsidRPr="00446A2A" w14:paraId="1E3868BD" w14:textId="77777777" w:rsidTr="007F06A5">
        <w:trPr>
          <w:trHeight w:val="255"/>
        </w:trPr>
        <w:tc>
          <w:tcPr>
            <w:tcW w:w="673" w:type="pct"/>
            <w:noWrap/>
            <w:vAlign w:val="bottom"/>
            <w:hideMark/>
          </w:tcPr>
          <w:p w14:paraId="2B5DD539" w14:textId="77777777" w:rsidR="00BE1B59" w:rsidRPr="007F06A5" w:rsidRDefault="00BE1B59" w:rsidP="0060053A">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865" w:type="pct"/>
            <w:noWrap/>
            <w:vAlign w:val="bottom"/>
            <w:hideMark/>
          </w:tcPr>
          <w:p w14:paraId="49C9B2E4"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$6,645,132</w:t>
            </w:r>
          </w:p>
        </w:tc>
        <w:tc>
          <w:tcPr>
            <w:tcW w:w="866" w:type="pct"/>
            <w:noWrap/>
            <w:vAlign w:val="bottom"/>
            <w:hideMark/>
          </w:tcPr>
          <w:p w14:paraId="59E0B4BC"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$3,870,195</w:t>
            </w:r>
          </w:p>
        </w:tc>
        <w:tc>
          <w:tcPr>
            <w:tcW w:w="865" w:type="pct"/>
            <w:noWrap/>
            <w:vAlign w:val="bottom"/>
            <w:hideMark/>
          </w:tcPr>
          <w:p w14:paraId="1C827D52"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$3,990,833</w:t>
            </w:r>
          </w:p>
        </w:tc>
        <w:tc>
          <w:tcPr>
            <w:tcW w:w="865" w:type="pct"/>
            <w:noWrap/>
            <w:vAlign w:val="bottom"/>
            <w:hideMark/>
          </w:tcPr>
          <w:p w14:paraId="550E7147"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$2,873,491</w:t>
            </w:r>
          </w:p>
        </w:tc>
        <w:tc>
          <w:tcPr>
            <w:tcW w:w="865" w:type="pct"/>
            <w:noWrap/>
            <w:vAlign w:val="bottom"/>
            <w:hideMark/>
          </w:tcPr>
          <w:p w14:paraId="261C9D5E" w14:textId="77777777" w:rsidR="00BE1B59" w:rsidRPr="00446A2A" w:rsidRDefault="00BE1B59" w:rsidP="0060053A">
            <w:pPr>
              <w:spacing w:before="240"/>
              <w:ind w:firstLine="0"/>
              <w:rPr>
                <w:rFonts w:ascii="Calibri" w:hAnsi="Calibri" w:cs="Calibri"/>
                <w:sz w:val="24"/>
                <w:szCs w:val="24"/>
              </w:rPr>
            </w:pPr>
            <w:r w:rsidRPr="00446A2A">
              <w:rPr>
                <w:rFonts w:ascii="Calibri" w:hAnsi="Calibri" w:cs="Calibri"/>
                <w:sz w:val="24"/>
                <w:szCs w:val="24"/>
              </w:rPr>
              <w:t>$2,684,420</w:t>
            </w:r>
          </w:p>
        </w:tc>
      </w:tr>
    </w:tbl>
    <w:p w14:paraId="785E6A77" w14:textId="77777777" w:rsidR="0060053A" w:rsidRDefault="0060053A" w:rsidP="007F06A5">
      <w:pPr>
        <w:spacing w:before="240"/>
      </w:pPr>
      <w:r>
        <w:br w:type="page"/>
      </w:r>
    </w:p>
    <w:p w14:paraId="67C6EC3C" w14:textId="5131A39C" w:rsidR="00446A2A" w:rsidRPr="00446A2A" w:rsidRDefault="00446A2A" w:rsidP="007F06A5">
      <w:pPr>
        <w:spacing w:before="240"/>
        <w:rPr>
          <w:rFonts w:ascii="Calibri" w:hAnsi="Calibri" w:cs="Calibri"/>
          <w:sz w:val="24"/>
          <w:szCs w:val="24"/>
        </w:rPr>
      </w:pPr>
      <w:r>
        <w:t xml:space="preserve">Franklin Parish, </w:t>
      </w:r>
      <w:r w:rsidRPr="00446A2A">
        <w:t>Assessment</w:t>
      </w:r>
      <w:r>
        <w:t xml:space="preserve"> </w:t>
      </w:r>
      <w:r w:rsidR="007F06A5" w:rsidRPr="007F06A5">
        <w:t>1700024700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59"/>
        <w:gridCol w:w="1618"/>
        <w:gridCol w:w="1619"/>
        <w:gridCol w:w="1618"/>
        <w:gridCol w:w="1618"/>
        <w:gridCol w:w="1618"/>
      </w:tblGrid>
      <w:tr w:rsidR="00BE1B59" w:rsidRPr="00446A2A" w14:paraId="3575296E" w14:textId="77777777" w:rsidTr="007F06A5">
        <w:trPr>
          <w:trHeight w:val="255"/>
        </w:trPr>
        <w:tc>
          <w:tcPr>
            <w:tcW w:w="673" w:type="pct"/>
            <w:noWrap/>
            <w:vAlign w:val="bottom"/>
            <w:hideMark/>
          </w:tcPr>
          <w:p w14:paraId="6E294FBE" w14:textId="2F79CF45"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 </w:t>
            </w:r>
            <w:r w:rsidR="00446A2A" w:rsidRPr="007F06A5">
              <w:rPr>
                <w:rFonts w:ascii="Calibri" w:hAnsi="Calibri" w:cs="Calibri"/>
                <w:b/>
                <w:bCs/>
                <w:sz w:val="24"/>
                <w:szCs w:val="24"/>
              </w:rPr>
              <w:t> Party</w:t>
            </w:r>
          </w:p>
        </w:tc>
        <w:tc>
          <w:tcPr>
            <w:tcW w:w="865" w:type="pct"/>
            <w:noWrap/>
            <w:vAlign w:val="bottom"/>
            <w:hideMark/>
          </w:tcPr>
          <w:p w14:paraId="41E522C9"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6" w:type="pct"/>
            <w:noWrap/>
            <w:vAlign w:val="bottom"/>
            <w:hideMark/>
          </w:tcPr>
          <w:p w14:paraId="0E744F1E"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5" w:type="pct"/>
            <w:noWrap/>
            <w:vAlign w:val="bottom"/>
            <w:hideMark/>
          </w:tcPr>
          <w:p w14:paraId="1F0BDA10"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5" w:type="pct"/>
            <w:noWrap/>
            <w:vAlign w:val="bottom"/>
            <w:hideMark/>
          </w:tcPr>
          <w:p w14:paraId="24B95914"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5" w:type="pct"/>
            <w:noWrap/>
            <w:vAlign w:val="bottom"/>
            <w:hideMark/>
          </w:tcPr>
          <w:p w14:paraId="759B0FC1"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2735EB39" w14:textId="77777777" w:rsidTr="007F06A5">
        <w:trPr>
          <w:trHeight w:val="255"/>
        </w:trPr>
        <w:tc>
          <w:tcPr>
            <w:tcW w:w="673" w:type="pct"/>
            <w:noWrap/>
            <w:vAlign w:val="bottom"/>
            <w:hideMark/>
          </w:tcPr>
          <w:p w14:paraId="6AC337E0"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865" w:type="pct"/>
            <w:noWrap/>
            <w:vAlign w:val="bottom"/>
            <w:hideMark/>
          </w:tcPr>
          <w:p w14:paraId="5E438130"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$6,645,132</w:t>
            </w:r>
          </w:p>
        </w:tc>
        <w:tc>
          <w:tcPr>
            <w:tcW w:w="866" w:type="pct"/>
            <w:noWrap/>
            <w:vAlign w:val="bottom"/>
            <w:hideMark/>
          </w:tcPr>
          <w:p w14:paraId="5EBFEF18"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$6,355,000</w:t>
            </w:r>
          </w:p>
        </w:tc>
        <w:tc>
          <w:tcPr>
            <w:tcW w:w="865" w:type="pct"/>
            <w:noWrap/>
            <w:vAlign w:val="bottom"/>
            <w:hideMark/>
          </w:tcPr>
          <w:p w14:paraId="044451B3"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$5,992,241</w:t>
            </w:r>
          </w:p>
        </w:tc>
        <w:tc>
          <w:tcPr>
            <w:tcW w:w="865" w:type="pct"/>
            <w:noWrap/>
            <w:vAlign w:val="bottom"/>
            <w:hideMark/>
          </w:tcPr>
          <w:p w14:paraId="4BFEFBA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$5,630,627</w:t>
            </w:r>
          </w:p>
        </w:tc>
        <w:tc>
          <w:tcPr>
            <w:tcW w:w="865" w:type="pct"/>
            <w:noWrap/>
            <w:vAlign w:val="bottom"/>
            <w:hideMark/>
          </w:tcPr>
          <w:p w14:paraId="1009BF71"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$5,890,685</w:t>
            </w:r>
          </w:p>
        </w:tc>
      </w:tr>
      <w:tr w:rsidR="00BE1B59" w:rsidRPr="00446A2A" w14:paraId="3B83B7C8" w14:textId="77777777" w:rsidTr="007F06A5">
        <w:trPr>
          <w:trHeight w:val="255"/>
        </w:trPr>
        <w:tc>
          <w:tcPr>
            <w:tcW w:w="673" w:type="pct"/>
            <w:noWrap/>
            <w:vAlign w:val="bottom"/>
            <w:hideMark/>
          </w:tcPr>
          <w:p w14:paraId="5A8DB53C"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865" w:type="pct"/>
            <w:noWrap/>
            <w:vAlign w:val="bottom"/>
            <w:hideMark/>
          </w:tcPr>
          <w:p w14:paraId="096E9C3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p>
        </w:tc>
        <w:tc>
          <w:tcPr>
            <w:tcW w:w="866" w:type="pct"/>
            <w:noWrap/>
            <w:vAlign w:val="bottom"/>
            <w:hideMark/>
          </w:tcPr>
          <w:p w14:paraId="736C70AD"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$4,130,750</w:t>
            </w:r>
          </w:p>
        </w:tc>
        <w:tc>
          <w:tcPr>
            <w:tcW w:w="865" w:type="pct"/>
            <w:noWrap/>
            <w:vAlign w:val="bottom"/>
            <w:hideMark/>
          </w:tcPr>
          <w:p w14:paraId="222B969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$4,324,835</w:t>
            </w:r>
          </w:p>
        </w:tc>
        <w:tc>
          <w:tcPr>
            <w:tcW w:w="865" w:type="pct"/>
            <w:noWrap/>
            <w:vAlign w:val="bottom"/>
            <w:hideMark/>
          </w:tcPr>
          <w:p w14:paraId="7D3D989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$2,873,491</w:t>
            </w:r>
          </w:p>
        </w:tc>
        <w:tc>
          <w:tcPr>
            <w:tcW w:w="865" w:type="pct"/>
            <w:noWrap/>
            <w:vAlign w:val="bottom"/>
            <w:hideMark/>
          </w:tcPr>
          <w:p w14:paraId="3F13C25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$2,684,420</w:t>
            </w:r>
          </w:p>
        </w:tc>
      </w:tr>
      <w:tr w:rsidR="00BE1B59" w:rsidRPr="00446A2A" w14:paraId="5D118FF9" w14:textId="77777777" w:rsidTr="007F06A5">
        <w:trPr>
          <w:trHeight w:val="255"/>
        </w:trPr>
        <w:tc>
          <w:tcPr>
            <w:tcW w:w="673" w:type="pct"/>
            <w:noWrap/>
            <w:vAlign w:val="bottom"/>
            <w:hideMark/>
          </w:tcPr>
          <w:p w14:paraId="472E439B"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865" w:type="pct"/>
            <w:noWrap/>
            <w:vAlign w:val="bottom"/>
            <w:hideMark/>
          </w:tcPr>
          <w:p w14:paraId="54E463E1"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$6,645,132</w:t>
            </w:r>
          </w:p>
        </w:tc>
        <w:tc>
          <w:tcPr>
            <w:tcW w:w="866" w:type="pct"/>
            <w:noWrap/>
            <w:vAlign w:val="bottom"/>
            <w:hideMark/>
          </w:tcPr>
          <w:p w14:paraId="58D88F05"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$3,870,195</w:t>
            </w:r>
          </w:p>
        </w:tc>
        <w:tc>
          <w:tcPr>
            <w:tcW w:w="865" w:type="pct"/>
            <w:noWrap/>
            <w:vAlign w:val="bottom"/>
            <w:hideMark/>
          </w:tcPr>
          <w:p w14:paraId="06F39C52"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$3,990,833</w:t>
            </w:r>
          </w:p>
        </w:tc>
        <w:tc>
          <w:tcPr>
            <w:tcW w:w="865" w:type="pct"/>
            <w:noWrap/>
            <w:vAlign w:val="bottom"/>
            <w:hideMark/>
          </w:tcPr>
          <w:p w14:paraId="4AC09FA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$2,873,491</w:t>
            </w:r>
          </w:p>
        </w:tc>
        <w:tc>
          <w:tcPr>
            <w:tcW w:w="865" w:type="pct"/>
            <w:noWrap/>
            <w:vAlign w:val="bottom"/>
            <w:hideMark/>
          </w:tcPr>
          <w:p w14:paraId="5ABA77ED"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$2,684,420</w:t>
            </w:r>
          </w:p>
        </w:tc>
      </w:tr>
    </w:tbl>
    <w:p w14:paraId="1BAEA2C9" w14:textId="2E197A77" w:rsidR="00446A2A" w:rsidRPr="00446A2A" w:rsidRDefault="00446A2A" w:rsidP="007F06A5">
      <w:pPr>
        <w:spacing w:before="240"/>
        <w:rPr>
          <w:rFonts w:ascii="Calibri" w:hAnsi="Calibri" w:cs="Calibri"/>
          <w:sz w:val="24"/>
          <w:szCs w:val="24"/>
        </w:rPr>
      </w:pPr>
      <w:r>
        <w:t xml:space="preserve">Franklin Parish, </w:t>
      </w:r>
      <w:r w:rsidRPr="00446A2A">
        <w:t>Assessment</w:t>
      </w:r>
      <w:r>
        <w:t xml:space="preserve"> </w:t>
      </w:r>
      <w:r w:rsidR="007F06A5" w:rsidRPr="007F06A5">
        <w:t>1700024701</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59"/>
        <w:gridCol w:w="1618"/>
        <w:gridCol w:w="1619"/>
        <w:gridCol w:w="1618"/>
        <w:gridCol w:w="1618"/>
        <w:gridCol w:w="1618"/>
      </w:tblGrid>
      <w:tr w:rsidR="00BE1B59" w:rsidRPr="00446A2A" w14:paraId="2917C8C0" w14:textId="77777777" w:rsidTr="007F06A5">
        <w:trPr>
          <w:trHeight w:val="255"/>
        </w:trPr>
        <w:tc>
          <w:tcPr>
            <w:tcW w:w="673" w:type="pct"/>
            <w:noWrap/>
            <w:vAlign w:val="bottom"/>
            <w:hideMark/>
          </w:tcPr>
          <w:p w14:paraId="076F3C66" w14:textId="6F1165B3"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 </w:t>
            </w:r>
            <w:r w:rsidR="00446A2A" w:rsidRPr="007F06A5">
              <w:rPr>
                <w:rFonts w:ascii="Calibri" w:hAnsi="Calibri" w:cs="Calibri"/>
                <w:b/>
                <w:bCs/>
                <w:sz w:val="24"/>
                <w:szCs w:val="24"/>
              </w:rPr>
              <w:t> Party</w:t>
            </w:r>
          </w:p>
        </w:tc>
        <w:tc>
          <w:tcPr>
            <w:tcW w:w="865" w:type="pct"/>
            <w:noWrap/>
            <w:vAlign w:val="bottom"/>
            <w:hideMark/>
          </w:tcPr>
          <w:p w14:paraId="516CBE6A"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6" w:type="pct"/>
            <w:noWrap/>
            <w:vAlign w:val="bottom"/>
            <w:hideMark/>
          </w:tcPr>
          <w:p w14:paraId="53D1CC89"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5" w:type="pct"/>
            <w:noWrap/>
            <w:vAlign w:val="bottom"/>
            <w:hideMark/>
          </w:tcPr>
          <w:p w14:paraId="32A0906B"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5" w:type="pct"/>
            <w:noWrap/>
            <w:vAlign w:val="bottom"/>
            <w:hideMark/>
          </w:tcPr>
          <w:p w14:paraId="54D11AE2"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5" w:type="pct"/>
            <w:noWrap/>
            <w:vAlign w:val="bottom"/>
            <w:hideMark/>
          </w:tcPr>
          <w:p w14:paraId="75012AE9"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3C4FBC95" w14:textId="77777777" w:rsidTr="007F06A5">
        <w:trPr>
          <w:trHeight w:val="255"/>
        </w:trPr>
        <w:tc>
          <w:tcPr>
            <w:tcW w:w="673" w:type="pct"/>
            <w:noWrap/>
            <w:vAlign w:val="bottom"/>
            <w:hideMark/>
          </w:tcPr>
          <w:p w14:paraId="107D47D1"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865" w:type="pct"/>
            <w:noWrap/>
            <w:vAlign w:val="bottom"/>
            <w:hideMark/>
          </w:tcPr>
          <w:p w14:paraId="3138DD2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$22,701,479</w:t>
            </w:r>
          </w:p>
        </w:tc>
        <w:tc>
          <w:tcPr>
            <w:tcW w:w="866" w:type="pct"/>
            <w:noWrap/>
            <w:vAlign w:val="bottom"/>
            <w:hideMark/>
          </w:tcPr>
          <w:p w14:paraId="6D887B1A"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$22,334,934</w:t>
            </w:r>
          </w:p>
        </w:tc>
        <w:tc>
          <w:tcPr>
            <w:tcW w:w="865" w:type="pct"/>
            <w:noWrap/>
            <w:vAlign w:val="bottom"/>
            <w:hideMark/>
          </w:tcPr>
          <w:p w14:paraId="27E78A29"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$21,878,767</w:t>
            </w:r>
          </w:p>
        </w:tc>
        <w:tc>
          <w:tcPr>
            <w:tcW w:w="865" w:type="pct"/>
            <w:noWrap/>
            <w:vAlign w:val="bottom"/>
            <w:hideMark/>
          </w:tcPr>
          <w:p w14:paraId="78AC082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$21,317,213</w:t>
            </w:r>
          </w:p>
        </w:tc>
        <w:tc>
          <w:tcPr>
            <w:tcW w:w="865" w:type="pct"/>
            <w:noWrap/>
            <w:vAlign w:val="bottom"/>
            <w:hideMark/>
          </w:tcPr>
          <w:p w14:paraId="7AC1C862"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$22,821,788</w:t>
            </w:r>
          </w:p>
        </w:tc>
      </w:tr>
      <w:tr w:rsidR="00BE1B59" w:rsidRPr="00446A2A" w14:paraId="4EB7BE21" w14:textId="77777777" w:rsidTr="007F06A5">
        <w:trPr>
          <w:trHeight w:val="255"/>
        </w:trPr>
        <w:tc>
          <w:tcPr>
            <w:tcW w:w="673" w:type="pct"/>
            <w:noWrap/>
            <w:vAlign w:val="bottom"/>
            <w:hideMark/>
          </w:tcPr>
          <w:p w14:paraId="5A026EE1"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865" w:type="pct"/>
            <w:noWrap/>
            <w:vAlign w:val="bottom"/>
            <w:hideMark/>
          </w:tcPr>
          <w:p w14:paraId="2A6483E8"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p>
        </w:tc>
        <w:tc>
          <w:tcPr>
            <w:tcW w:w="866" w:type="pct"/>
            <w:noWrap/>
            <w:vAlign w:val="bottom"/>
            <w:hideMark/>
          </w:tcPr>
          <w:p w14:paraId="6D2530C6"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$14,517,706</w:t>
            </w:r>
          </w:p>
        </w:tc>
        <w:tc>
          <w:tcPr>
            <w:tcW w:w="865" w:type="pct"/>
            <w:noWrap/>
            <w:vAlign w:val="bottom"/>
            <w:hideMark/>
          </w:tcPr>
          <w:p w14:paraId="46CCFF6F"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$15,790,764</w:t>
            </w:r>
          </w:p>
        </w:tc>
        <w:tc>
          <w:tcPr>
            <w:tcW w:w="865" w:type="pct"/>
            <w:noWrap/>
            <w:vAlign w:val="bottom"/>
            <w:hideMark/>
          </w:tcPr>
          <w:p w14:paraId="4170278E"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$10,878,858</w:t>
            </w:r>
          </w:p>
        </w:tc>
        <w:tc>
          <w:tcPr>
            <w:tcW w:w="865" w:type="pct"/>
            <w:noWrap/>
            <w:vAlign w:val="bottom"/>
            <w:hideMark/>
          </w:tcPr>
          <w:p w14:paraId="06AA5173"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$10,400,026</w:t>
            </w:r>
          </w:p>
        </w:tc>
      </w:tr>
      <w:tr w:rsidR="00BE1B59" w:rsidRPr="00446A2A" w14:paraId="4C4355A8" w14:textId="77777777" w:rsidTr="007F06A5">
        <w:trPr>
          <w:trHeight w:val="255"/>
        </w:trPr>
        <w:tc>
          <w:tcPr>
            <w:tcW w:w="673" w:type="pct"/>
            <w:noWrap/>
            <w:vAlign w:val="bottom"/>
            <w:hideMark/>
          </w:tcPr>
          <w:p w14:paraId="7A05DF50"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865" w:type="pct"/>
            <w:noWrap/>
            <w:vAlign w:val="bottom"/>
            <w:hideMark/>
          </w:tcPr>
          <w:p w14:paraId="4E54EC69"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$22,701,479</w:t>
            </w:r>
          </w:p>
        </w:tc>
        <w:tc>
          <w:tcPr>
            <w:tcW w:w="866" w:type="pct"/>
            <w:noWrap/>
            <w:vAlign w:val="bottom"/>
            <w:hideMark/>
          </w:tcPr>
          <w:p w14:paraId="2AFE44C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$13,601,974</w:t>
            </w:r>
          </w:p>
        </w:tc>
        <w:tc>
          <w:tcPr>
            <w:tcW w:w="865" w:type="pct"/>
            <w:noWrap/>
            <w:vAlign w:val="bottom"/>
            <w:hideMark/>
          </w:tcPr>
          <w:p w14:paraId="77A218FA"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$14,571,258</w:t>
            </w:r>
          </w:p>
        </w:tc>
        <w:tc>
          <w:tcPr>
            <w:tcW w:w="865" w:type="pct"/>
            <w:noWrap/>
            <w:vAlign w:val="bottom"/>
            <w:hideMark/>
          </w:tcPr>
          <w:p w14:paraId="20A52AF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$10,878,858</w:t>
            </w:r>
          </w:p>
        </w:tc>
        <w:tc>
          <w:tcPr>
            <w:tcW w:w="865" w:type="pct"/>
            <w:noWrap/>
            <w:vAlign w:val="bottom"/>
            <w:hideMark/>
          </w:tcPr>
          <w:p w14:paraId="7B6E91E8"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$10,400,026</w:t>
            </w:r>
          </w:p>
        </w:tc>
      </w:tr>
    </w:tbl>
    <w:p w14:paraId="5EECFAA6" w14:textId="57C8CC04" w:rsidR="00446A2A" w:rsidRPr="00446A2A" w:rsidRDefault="00446A2A" w:rsidP="00BA35F1">
      <w:pPr>
        <w:spacing w:before="240"/>
        <w:rPr>
          <w:rFonts w:ascii="Calibri" w:hAnsi="Calibri" w:cs="Calibri"/>
          <w:sz w:val="24"/>
          <w:szCs w:val="24"/>
        </w:rPr>
      </w:pPr>
      <w:r>
        <w:t xml:space="preserve">Franklin Parish, </w:t>
      </w:r>
      <w:r>
        <w:t>Totals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60"/>
        <w:gridCol w:w="1618"/>
        <w:gridCol w:w="1618"/>
        <w:gridCol w:w="1618"/>
        <w:gridCol w:w="1618"/>
        <w:gridCol w:w="1618"/>
      </w:tblGrid>
      <w:tr w:rsidR="00BE1B59" w:rsidRPr="00446A2A" w14:paraId="1C9D8C9F" w14:textId="77777777" w:rsidTr="007F06A5">
        <w:trPr>
          <w:trHeight w:val="255"/>
        </w:trPr>
        <w:tc>
          <w:tcPr>
            <w:tcW w:w="674" w:type="pct"/>
            <w:noWrap/>
            <w:vAlign w:val="bottom"/>
            <w:hideMark/>
          </w:tcPr>
          <w:p w14:paraId="08F875B7" w14:textId="097789DA"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 </w:t>
            </w:r>
            <w:r w:rsidR="00446A2A" w:rsidRPr="007F06A5">
              <w:rPr>
                <w:rFonts w:ascii="Calibri" w:hAnsi="Calibri" w:cs="Calibri"/>
                <w:b/>
                <w:bCs/>
                <w:sz w:val="24"/>
                <w:szCs w:val="24"/>
              </w:rPr>
              <w:t> Party</w:t>
            </w:r>
          </w:p>
        </w:tc>
        <w:tc>
          <w:tcPr>
            <w:tcW w:w="865" w:type="pct"/>
            <w:noWrap/>
            <w:vAlign w:val="bottom"/>
            <w:hideMark/>
          </w:tcPr>
          <w:p w14:paraId="3EC89F3C"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5" w:type="pct"/>
            <w:noWrap/>
            <w:vAlign w:val="bottom"/>
            <w:hideMark/>
          </w:tcPr>
          <w:p w14:paraId="31918BA7"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5" w:type="pct"/>
            <w:noWrap/>
            <w:vAlign w:val="bottom"/>
            <w:hideMark/>
          </w:tcPr>
          <w:p w14:paraId="37A74AC1"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5" w:type="pct"/>
            <w:noWrap/>
            <w:vAlign w:val="bottom"/>
            <w:hideMark/>
          </w:tcPr>
          <w:p w14:paraId="27EB93B9"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5" w:type="pct"/>
            <w:noWrap/>
            <w:vAlign w:val="bottom"/>
            <w:hideMark/>
          </w:tcPr>
          <w:p w14:paraId="138EF03C"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2B9A0BCD" w14:textId="77777777" w:rsidTr="007F06A5">
        <w:trPr>
          <w:trHeight w:val="255"/>
        </w:trPr>
        <w:tc>
          <w:tcPr>
            <w:tcW w:w="674" w:type="pct"/>
            <w:noWrap/>
            <w:vAlign w:val="bottom"/>
            <w:hideMark/>
          </w:tcPr>
          <w:p w14:paraId="6328736C"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865" w:type="pct"/>
            <w:noWrap/>
            <w:vAlign w:val="bottom"/>
            <w:hideMark/>
          </w:tcPr>
          <w:p w14:paraId="21E0D0E6"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$58,693,222</w:t>
            </w:r>
          </w:p>
        </w:tc>
        <w:tc>
          <w:tcPr>
            <w:tcW w:w="865" w:type="pct"/>
            <w:noWrap/>
            <w:vAlign w:val="bottom"/>
            <w:hideMark/>
          </w:tcPr>
          <w:p w14:paraId="48BAD92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$57,379,867</w:t>
            </w:r>
          </w:p>
        </w:tc>
        <w:tc>
          <w:tcPr>
            <w:tcW w:w="865" w:type="pct"/>
            <w:noWrap/>
            <w:vAlign w:val="bottom"/>
            <w:hideMark/>
          </w:tcPr>
          <w:p w14:paraId="43297F9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$55,742,015</w:t>
            </w:r>
          </w:p>
        </w:tc>
        <w:tc>
          <w:tcPr>
            <w:tcW w:w="865" w:type="pct"/>
            <w:noWrap/>
            <w:vAlign w:val="bottom"/>
            <w:hideMark/>
          </w:tcPr>
          <w:p w14:paraId="2A10963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$53,895,680</w:t>
            </w:r>
          </w:p>
        </w:tc>
        <w:tc>
          <w:tcPr>
            <w:tcW w:w="865" w:type="pct"/>
            <w:noWrap/>
            <w:vAlign w:val="bottom"/>
            <w:hideMark/>
          </w:tcPr>
          <w:p w14:paraId="595F144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$57,424,946</w:t>
            </w:r>
          </w:p>
        </w:tc>
      </w:tr>
      <w:tr w:rsidR="00BE1B59" w:rsidRPr="00446A2A" w14:paraId="7F385A3D" w14:textId="77777777" w:rsidTr="007F06A5">
        <w:trPr>
          <w:trHeight w:val="255"/>
        </w:trPr>
        <w:tc>
          <w:tcPr>
            <w:tcW w:w="674" w:type="pct"/>
            <w:noWrap/>
            <w:vAlign w:val="bottom"/>
            <w:hideMark/>
          </w:tcPr>
          <w:p w14:paraId="4FC38A1E"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865" w:type="pct"/>
            <w:noWrap/>
            <w:vAlign w:val="bottom"/>
            <w:hideMark/>
          </w:tcPr>
          <w:p w14:paraId="1B96882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$39,907,446</w:t>
            </w:r>
          </w:p>
        </w:tc>
        <w:tc>
          <w:tcPr>
            <w:tcW w:w="865" w:type="pct"/>
            <w:noWrap/>
            <w:vAlign w:val="bottom"/>
            <w:hideMark/>
          </w:tcPr>
          <w:p w14:paraId="78F1FF2E"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$37,172,418</w:t>
            </w:r>
          </w:p>
        </w:tc>
        <w:tc>
          <w:tcPr>
            <w:tcW w:w="865" w:type="pct"/>
            <w:noWrap/>
            <w:vAlign w:val="bottom"/>
            <w:hideMark/>
          </w:tcPr>
          <w:p w14:paraId="76D77EB2"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$40,231,198</w:t>
            </w:r>
          </w:p>
        </w:tc>
        <w:tc>
          <w:tcPr>
            <w:tcW w:w="865" w:type="pct"/>
            <w:noWrap/>
            <w:vAlign w:val="bottom"/>
            <w:hideMark/>
          </w:tcPr>
          <w:p w14:paraId="44245D96"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$27,504,698</w:t>
            </w:r>
          </w:p>
        </w:tc>
        <w:tc>
          <w:tcPr>
            <w:tcW w:w="865" w:type="pct"/>
            <w:noWrap/>
            <w:vAlign w:val="bottom"/>
            <w:hideMark/>
          </w:tcPr>
          <w:p w14:paraId="42272520"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$26,168,892</w:t>
            </w:r>
          </w:p>
        </w:tc>
      </w:tr>
      <w:tr w:rsidR="00BE1B59" w:rsidRPr="00446A2A" w14:paraId="7FFE976A" w14:textId="77777777" w:rsidTr="007F06A5">
        <w:trPr>
          <w:trHeight w:val="255"/>
        </w:trPr>
        <w:tc>
          <w:tcPr>
            <w:tcW w:w="674" w:type="pct"/>
            <w:noWrap/>
            <w:vAlign w:val="bottom"/>
            <w:hideMark/>
          </w:tcPr>
          <w:p w14:paraId="2FEACB6D"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865" w:type="pct"/>
            <w:noWrap/>
            <w:vAlign w:val="bottom"/>
            <w:hideMark/>
          </w:tcPr>
          <w:p w14:paraId="5D8AD269"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$58,693,222</w:t>
            </w:r>
          </w:p>
        </w:tc>
        <w:tc>
          <w:tcPr>
            <w:tcW w:w="865" w:type="pct"/>
            <w:noWrap/>
            <w:vAlign w:val="bottom"/>
            <w:hideMark/>
          </w:tcPr>
          <w:p w14:paraId="31B700BA"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$34,944,339</w:t>
            </w:r>
          </w:p>
        </w:tc>
        <w:tc>
          <w:tcPr>
            <w:tcW w:w="865" w:type="pct"/>
            <w:noWrap/>
            <w:vAlign w:val="bottom"/>
            <w:hideMark/>
          </w:tcPr>
          <w:p w14:paraId="54A3BFB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$37,124,182</w:t>
            </w:r>
          </w:p>
        </w:tc>
        <w:tc>
          <w:tcPr>
            <w:tcW w:w="865" w:type="pct"/>
            <w:noWrap/>
            <w:vAlign w:val="bottom"/>
            <w:hideMark/>
          </w:tcPr>
          <w:p w14:paraId="28FE37F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$27,504,698</w:t>
            </w:r>
          </w:p>
        </w:tc>
        <w:tc>
          <w:tcPr>
            <w:tcW w:w="865" w:type="pct"/>
            <w:noWrap/>
            <w:vAlign w:val="bottom"/>
            <w:hideMark/>
          </w:tcPr>
          <w:p w14:paraId="3BB56422"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$26,168,892</w:t>
            </w:r>
          </w:p>
        </w:tc>
      </w:tr>
    </w:tbl>
    <w:p w14:paraId="2AC7A27B" w14:textId="77777777" w:rsidR="00BA35F1" w:rsidRDefault="00BA35F1" w:rsidP="007F06A5">
      <w:pPr>
        <w:spacing w:before="240"/>
      </w:pPr>
      <w:r>
        <w:br w:type="page"/>
      </w:r>
    </w:p>
    <w:p w14:paraId="3AA3E5D6" w14:textId="5161AA1B" w:rsidR="00446A2A" w:rsidRPr="00446A2A" w:rsidRDefault="00446A2A" w:rsidP="007F06A5">
      <w:pPr>
        <w:spacing w:before="240"/>
        <w:rPr>
          <w:rFonts w:ascii="Calibri" w:hAnsi="Calibri" w:cs="Calibri"/>
          <w:sz w:val="24"/>
          <w:szCs w:val="24"/>
        </w:rPr>
      </w:pPr>
      <w:r>
        <w:t xml:space="preserve">Jackson </w:t>
      </w:r>
      <w:r>
        <w:t xml:space="preserve">Parish, </w:t>
      </w:r>
      <w:r w:rsidRPr="00446A2A">
        <w:t>Assessment</w:t>
      </w:r>
      <w:r>
        <w:t xml:space="preserve"> </w:t>
      </w:r>
      <w:r w:rsidR="007F06A5" w:rsidRPr="007F06A5">
        <w:t>2010005800</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777"/>
        <w:gridCol w:w="1608"/>
        <w:gridCol w:w="1608"/>
        <w:gridCol w:w="1608"/>
        <w:gridCol w:w="1608"/>
      </w:tblGrid>
      <w:tr w:rsidR="00BE1B59" w:rsidRPr="00446A2A" w14:paraId="22C2F0BC" w14:textId="77777777" w:rsidTr="007F06A5">
        <w:trPr>
          <w:trHeight w:val="255"/>
        </w:trPr>
        <w:tc>
          <w:tcPr>
            <w:tcW w:w="610" w:type="pct"/>
            <w:noWrap/>
            <w:vAlign w:val="bottom"/>
            <w:hideMark/>
          </w:tcPr>
          <w:p w14:paraId="68CAF104" w14:textId="49F0338E"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r w:rsidR="00446A2A" w:rsidRPr="00446A2A">
              <w:rPr>
                <w:rFonts w:ascii="Calibri" w:hAnsi="Calibri" w:cs="Calibri"/>
                <w:b/>
                <w:bCs/>
                <w:sz w:val="24"/>
                <w:szCs w:val="24"/>
              </w:rPr>
              <w:t> Party</w:t>
            </w:r>
          </w:p>
        </w:tc>
        <w:tc>
          <w:tcPr>
            <w:tcW w:w="950" w:type="pct"/>
            <w:noWrap/>
            <w:vAlign w:val="bottom"/>
            <w:hideMark/>
          </w:tcPr>
          <w:p w14:paraId="4C8D11AD"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0" w:type="pct"/>
            <w:noWrap/>
            <w:vAlign w:val="bottom"/>
            <w:hideMark/>
          </w:tcPr>
          <w:p w14:paraId="5AEBF0EA"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0" w:type="pct"/>
            <w:noWrap/>
            <w:vAlign w:val="bottom"/>
            <w:hideMark/>
          </w:tcPr>
          <w:p w14:paraId="28861D65"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0" w:type="pct"/>
            <w:noWrap/>
            <w:vAlign w:val="bottom"/>
            <w:hideMark/>
          </w:tcPr>
          <w:p w14:paraId="3C22841B"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0" w:type="pct"/>
            <w:noWrap/>
            <w:vAlign w:val="bottom"/>
            <w:hideMark/>
          </w:tcPr>
          <w:p w14:paraId="1332E68A"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0BCA1B0E" w14:textId="77777777" w:rsidTr="007F06A5">
        <w:trPr>
          <w:trHeight w:val="255"/>
        </w:trPr>
        <w:tc>
          <w:tcPr>
            <w:tcW w:w="610" w:type="pct"/>
            <w:noWrap/>
            <w:vAlign w:val="bottom"/>
            <w:hideMark/>
          </w:tcPr>
          <w:p w14:paraId="2B9A2368"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950" w:type="pct"/>
            <w:noWrap/>
            <w:vAlign w:val="bottom"/>
            <w:hideMark/>
          </w:tcPr>
          <w:p w14:paraId="534D0EB8"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$360,667</w:t>
            </w:r>
          </w:p>
        </w:tc>
        <w:tc>
          <w:tcPr>
            <w:tcW w:w="860" w:type="pct"/>
            <w:noWrap/>
            <w:vAlign w:val="bottom"/>
            <w:hideMark/>
          </w:tcPr>
          <w:p w14:paraId="4E3A7CB0"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$364,533</w:t>
            </w:r>
          </w:p>
        </w:tc>
        <w:tc>
          <w:tcPr>
            <w:tcW w:w="860" w:type="pct"/>
            <w:noWrap/>
            <w:vAlign w:val="bottom"/>
            <w:hideMark/>
          </w:tcPr>
          <w:p w14:paraId="34CE4F98"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$353,138</w:t>
            </w:r>
          </w:p>
        </w:tc>
        <w:tc>
          <w:tcPr>
            <w:tcW w:w="860" w:type="pct"/>
            <w:noWrap/>
            <w:vAlign w:val="bottom"/>
            <w:hideMark/>
          </w:tcPr>
          <w:p w14:paraId="69D04405"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$339,267</w:t>
            </w:r>
          </w:p>
        </w:tc>
        <w:tc>
          <w:tcPr>
            <w:tcW w:w="860" w:type="pct"/>
            <w:noWrap/>
            <w:vAlign w:val="bottom"/>
            <w:hideMark/>
          </w:tcPr>
          <w:p w14:paraId="75CE70C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$388,831</w:t>
            </w:r>
          </w:p>
        </w:tc>
      </w:tr>
      <w:tr w:rsidR="00BE1B59" w:rsidRPr="00446A2A" w14:paraId="0AFD1A6C" w14:textId="77777777" w:rsidTr="007F06A5">
        <w:trPr>
          <w:trHeight w:val="255"/>
        </w:trPr>
        <w:tc>
          <w:tcPr>
            <w:tcW w:w="610" w:type="pct"/>
            <w:noWrap/>
            <w:vAlign w:val="bottom"/>
            <w:hideMark/>
          </w:tcPr>
          <w:p w14:paraId="637C8C93"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950" w:type="pct"/>
            <w:noWrap/>
            <w:vAlign w:val="bottom"/>
            <w:hideMark/>
          </w:tcPr>
          <w:p w14:paraId="3C29CEDA"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p>
        </w:tc>
        <w:tc>
          <w:tcPr>
            <w:tcW w:w="860" w:type="pct"/>
            <w:noWrap/>
            <w:vAlign w:val="bottom"/>
            <w:hideMark/>
          </w:tcPr>
          <w:p w14:paraId="2AF146CE"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$236,946</w:t>
            </w:r>
          </w:p>
        </w:tc>
        <w:tc>
          <w:tcPr>
            <w:tcW w:w="860" w:type="pct"/>
            <w:noWrap/>
            <w:vAlign w:val="bottom"/>
            <w:hideMark/>
          </w:tcPr>
          <w:p w14:paraId="05361CDD"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$254,873</w:t>
            </w:r>
          </w:p>
        </w:tc>
        <w:tc>
          <w:tcPr>
            <w:tcW w:w="860" w:type="pct"/>
            <w:noWrap/>
            <w:vAlign w:val="bottom"/>
            <w:hideMark/>
          </w:tcPr>
          <w:p w14:paraId="07FDFD7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$173,160</w:t>
            </w:r>
          </w:p>
        </w:tc>
        <w:tc>
          <w:tcPr>
            <w:tcW w:w="860" w:type="pct"/>
            <w:noWrap/>
            <w:vAlign w:val="bottom"/>
            <w:hideMark/>
          </w:tcPr>
          <w:p w14:paraId="35F17408"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$177,193</w:t>
            </w:r>
          </w:p>
        </w:tc>
      </w:tr>
      <w:tr w:rsidR="00BE1B59" w:rsidRPr="00446A2A" w14:paraId="7900D2FC" w14:textId="77777777" w:rsidTr="007F06A5">
        <w:trPr>
          <w:trHeight w:val="255"/>
        </w:trPr>
        <w:tc>
          <w:tcPr>
            <w:tcW w:w="610" w:type="pct"/>
            <w:noWrap/>
            <w:vAlign w:val="bottom"/>
            <w:hideMark/>
          </w:tcPr>
          <w:p w14:paraId="2AEB4799"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950" w:type="pct"/>
            <w:noWrap/>
            <w:vAlign w:val="bottom"/>
            <w:hideMark/>
          </w:tcPr>
          <w:p w14:paraId="1F26926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$360,667</w:t>
            </w:r>
          </w:p>
        </w:tc>
        <w:tc>
          <w:tcPr>
            <w:tcW w:w="860" w:type="pct"/>
            <w:noWrap/>
            <w:vAlign w:val="bottom"/>
            <w:hideMark/>
          </w:tcPr>
          <w:p w14:paraId="25CC0AE8"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$222,001</w:t>
            </w:r>
          </w:p>
        </w:tc>
        <w:tc>
          <w:tcPr>
            <w:tcW w:w="860" w:type="pct"/>
            <w:noWrap/>
            <w:vAlign w:val="bottom"/>
            <w:hideMark/>
          </w:tcPr>
          <w:p w14:paraId="1FCB3FA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$235,190</w:t>
            </w:r>
          </w:p>
        </w:tc>
        <w:tc>
          <w:tcPr>
            <w:tcW w:w="860" w:type="pct"/>
            <w:noWrap/>
            <w:vAlign w:val="bottom"/>
            <w:hideMark/>
          </w:tcPr>
          <w:p w14:paraId="535677B5"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$173,160</w:t>
            </w:r>
          </w:p>
        </w:tc>
        <w:tc>
          <w:tcPr>
            <w:tcW w:w="860" w:type="pct"/>
            <w:noWrap/>
            <w:vAlign w:val="bottom"/>
            <w:hideMark/>
          </w:tcPr>
          <w:p w14:paraId="373B4CDF"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$177,193</w:t>
            </w:r>
          </w:p>
        </w:tc>
      </w:tr>
    </w:tbl>
    <w:p w14:paraId="0412F3A5" w14:textId="57EECB7B" w:rsidR="00446A2A" w:rsidRPr="00446A2A" w:rsidRDefault="00446A2A" w:rsidP="007F06A5">
      <w:pPr>
        <w:spacing w:before="240"/>
        <w:rPr>
          <w:rFonts w:ascii="Calibri" w:hAnsi="Calibri" w:cs="Calibri"/>
          <w:sz w:val="24"/>
          <w:szCs w:val="24"/>
        </w:rPr>
      </w:pPr>
      <w:r>
        <w:t xml:space="preserve">Jackson Parish, </w:t>
      </w:r>
      <w:r w:rsidRPr="00446A2A">
        <w:t>Assessment</w:t>
      </w:r>
      <w:r>
        <w:t xml:space="preserve"> </w:t>
      </w:r>
      <w:r w:rsidR="007F06A5" w:rsidRPr="007F06A5">
        <w:t>2010005801</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777"/>
        <w:gridCol w:w="1608"/>
        <w:gridCol w:w="1608"/>
        <w:gridCol w:w="1608"/>
        <w:gridCol w:w="1608"/>
      </w:tblGrid>
      <w:tr w:rsidR="00BE1B59" w:rsidRPr="00446A2A" w14:paraId="53EF55DF" w14:textId="77777777" w:rsidTr="007F06A5">
        <w:trPr>
          <w:trHeight w:val="255"/>
        </w:trPr>
        <w:tc>
          <w:tcPr>
            <w:tcW w:w="610" w:type="pct"/>
            <w:noWrap/>
            <w:vAlign w:val="bottom"/>
            <w:hideMark/>
          </w:tcPr>
          <w:p w14:paraId="3130AD87" w14:textId="1EF6B3BE"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r w:rsidR="00446A2A" w:rsidRPr="00446A2A">
              <w:rPr>
                <w:rFonts w:ascii="Calibri" w:hAnsi="Calibri" w:cs="Calibri"/>
                <w:b/>
                <w:bCs/>
                <w:sz w:val="24"/>
                <w:szCs w:val="24"/>
              </w:rPr>
              <w:t> Party</w:t>
            </w:r>
          </w:p>
        </w:tc>
        <w:tc>
          <w:tcPr>
            <w:tcW w:w="950" w:type="pct"/>
            <w:noWrap/>
            <w:vAlign w:val="bottom"/>
            <w:hideMark/>
          </w:tcPr>
          <w:p w14:paraId="337DDAC7"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0" w:type="pct"/>
            <w:noWrap/>
            <w:vAlign w:val="bottom"/>
            <w:hideMark/>
          </w:tcPr>
          <w:p w14:paraId="7E3EC9BF"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0" w:type="pct"/>
            <w:noWrap/>
            <w:vAlign w:val="bottom"/>
            <w:hideMark/>
          </w:tcPr>
          <w:p w14:paraId="49CEB333"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0" w:type="pct"/>
            <w:noWrap/>
            <w:vAlign w:val="bottom"/>
            <w:hideMark/>
          </w:tcPr>
          <w:p w14:paraId="19BD8D76"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0" w:type="pct"/>
            <w:noWrap/>
            <w:vAlign w:val="bottom"/>
            <w:hideMark/>
          </w:tcPr>
          <w:p w14:paraId="17E8AADB"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0562F0D0" w14:textId="77777777" w:rsidTr="007F06A5">
        <w:trPr>
          <w:trHeight w:val="255"/>
        </w:trPr>
        <w:tc>
          <w:tcPr>
            <w:tcW w:w="610" w:type="pct"/>
            <w:noWrap/>
            <w:vAlign w:val="bottom"/>
            <w:hideMark/>
          </w:tcPr>
          <w:p w14:paraId="1FBE1C56"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950" w:type="pct"/>
            <w:noWrap/>
            <w:vAlign w:val="bottom"/>
            <w:hideMark/>
          </w:tcPr>
          <w:p w14:paraId="5B51DE4A"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$54,081,200</w:t>
            </w:r>
          </w:p>
        </w:tc>
        <w:tc>
          <w:tcPr>
            <w:tcW w:w="860" w:type="pct"/>
            <w:noWrap/>
            <w:vAlign w:val="bottom"/>
            <w:hideMark/>
          </w:tcPr>
          <w:p w14:paraId="6EC9AEE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$53,322,800</w:t>
            </w:r>
          </w:p>
        </w:tc>
        <w:tc>
          <w:tcPr>
            <w:tcW w:w="860" w:type="pct"/>
            <w:noWrap/>
            <w:vAlign w:val="bottom"/>
            <w:hideMark/>
          </w:tcPr>
          <w:p w14:paraId="4A487F1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$51,711,800</w:t>
            </w:r>
          </w:p>
        </w:tc>
        <w:tc>
          <w:tcPr>
            <w:tcW w:w="860" w:type="pct"/>
            <w:noWrap/>
            <w:vAlign w:val="bottom"/>
            <w:hideMark/>
          </w:tcPr>
          <w:p w14:paraId="5A4113E3"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$49,296,333</w:t>
            </w:r>
          </w:p>
        </w:tc>
        <w:tc>
          <w:tcPr>
            <w:tcW w:w="860" w:type="pct"/>
            <w:noWrap/>
            <w:vAlign w:val="bottom"/>
            <w:hideMark/>
          </w:tcPr>
          <w:p w14:paraId="0DA4C695"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$53,041,384</w:t>
            </w:r>
          </w:p>
        </w:tc>
      </w:tr>
      <w:tr w:rsidR="00BE1B59" w:rsidRPr="00446A2A" w14:paraId="316DED0B" w14:textId="77777777" w:rsidTr="007F06A5">
        <w:trPr>
          <w:trHeight w:val="255"/>
        </w:trPr>
        <w:tc>
          <w:tcPr>
            <w:tcW w:w="610" w:type="pct"/>
            <w:noWrap/>
            <w:vAlign w:val="bottom"/>
            <w:hideMark/>
          </w:tcPr>
          <w:p w14:paraId="3FBD1542"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950" w:type="pct"/>
            <w:noWrap/>
            <w:vAlign w:val="bottom"/>
            <w:hideMark/>
          </w:tcPr>
          <w:p w14:paraId="53E55992"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p>
        </w:tc>
        <w:tc>
          <w:tcPr>
            <w:tcW w:w="860" w:type="pct"/>
            <w:noWrap/>
            <w:vAlign w:val="bottom"/>
            <w:hideMark/>
          </w:tcPr>
          <w:p w14:paraId="20AA12A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$34,659,820</w:t>
            </w:r>
          </w:p>
        </w:tc>
        <w:tc>
          <w:tcPr>
            <w:tcW w:w="860" w:type="pct"/>
            <w:noWrap/>
            <w:vAlign w:val="bottom"/>
            <w:hideMark/>
          </w:tcPr>
          <w:p w14:paraId="379A57A0"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$37,322,595</w:t>
            </w:r>
          </w:p>
        </w:tc>
        <w:tc>
          <w:tcPr>
            <w:tcW w:w="860" w:type="pct"/>
            <w:noWrap/>
            <w:vAlign w:val="bottom"/>
            <w:hideMark/>
          </w:tcPr>
          <w:p w14:paraId="37206F7D"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$25,157,501</w:t>
            </w:r>
          </w:p>
        </w:tc>
        <w:tc>
          <w:tcPr>
            <w:tcW w:w="860" w:type="pct"/>
            <w:noWrap/>
            <w:vAlign w:val="bottom"/>
            <w:hideMark/>
          </w:tcPr>
          <w:p w14:paraId="7261EA7F"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$24,171,277</w:t>
            </w:r>
          </w:p>
        </w:tc>
      </w:tr>
      <w:tr w:rsidR="00BE1B59" w:rsidRPr="00446A2A" w14:paraId="52B6C2C2" w14:textId="77777777" w:rsidTr="007F06A5">
        <w:trPr>
          <w:trHeight w:val="255"/>
        </w:trPr>
        <w:tc>
          <w:tcPr>
            <w:tcW w:w="610" w:type="pct"/>
            <w:noWrap/>
            <w:vAlign w:val="bottom"/>
            <w:hideMark/>
          </w:tcPr>
          <w:p w14:paraId="612B8FD8"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950" w:type="pct"/>
            <w:noWrap/>
            <w:vAlign w:val="bottom"/>
            <w:hideMark/>
          </w:tcPr>
          <w:p w14:paraId="5F3A2AEE"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$54,081,200</w:t>
            </w:r>
          </w:p>
        </w:tc>
        <w:tc>
          <w:tcPr>
            <w:tcW w:w="860" w:type="pct"/>
            <w:noWrap/>
            <w:vAlign w:val="bottom"/>
            <w:hideMark/>
          </w:tcPr>
          <w:p w14:paraId="558DE80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$32,473,585</w:t>
            </w:r>
          </w:p>
        </w:tc>
        <w:tc>
          <w:tcPr>
            <w:tcW w:w="860" w:type="pct"/>
            <w:noWrap/>
            <w:vAlign w:val="bottom"/>
            <w:hideMark/>
          </w:tcPr>
          <w:p w14:paraId="400ACF73"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$34,440,059</w:t>
            </w:r>
          </w:p>
        </w:tc>
        <w:tc>
          <w:tcPr>
            <w:tcW w:w="860" w:type="pct"/>
            <w:noWrap/>
            <w:vAlign w:val="bottom"/>
            <w:hideMark/>
          </w:tcPr>
          <w:p w14:paraId="79C53B20"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$25,157,501</w:t>
            </w:r>
          </w:p>
        </w:tc>
        <w:tc>
          <w:tcPr>
            <w:tcW w:w="860" w:type="pct"/>
            <w:noWrap/>
            <w:vAlign w:val="bottom"/>
            <w:hideMark/>
          </w:tcPr>
          <w:p w14:paraId="1E7A3E5A"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$24,171,277</w:t>
            </w:r>
          </w:p>
        </w:tc>
      </w:tr>
    </w:tbl>
    <w:p w14:paraId="0519A84E" w14:textId="2888873E" w:rsidR="00446A2A" w:rsidRPr="00446A2A" w:rsidRDefault="00446A2A" w:rsidP="00BA35F1">
      <w:pPr>
        <w:spacing w:before="240"/>
        <w:rPr>
          <w:rFonts w:ascii="Calibri" w:hAnsi="Calibri" w:cs="Calibri"/>
          <w:sz w:val="24"/>
          <w:szCs w:val="24"/>
        </w:rPr>
      </w:pPr>
      <w:r>
        <w:t xml:space="preserve">Jackson Parish, </w:t>
      </w:r>
      <w:r w:rsidRPr="00446A2A">
        <w:t>Assessment</w:t>
      </w:r>
      <w:r>
        <w:t xml:space="preserve"> </w:t>
      </w:r>
      <w:r w:rsidR="007F06A5" w:rsidRPr="007F06A5">
        <w:t>2030030261</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777"/>
        <w:gridCol w:w="1608"/>
        <w:gridCol w:w="1608"/>
        <w:gridCol w:w="1608"/>
        <w:gridCol w:w="1608"/>
      </w:tblGrid>
      <w:tr w:rsidR="00BE1B59" w:rsidRPr="00446A2A" w14:paraId="3FADDB13" w14:textId="77777777" w:rsidTr="007F06A5">
        <w:trPr>
          <w:trHeight w:val="255"/>
        </w:trPr>
        <w:tc>
          <w:tcPr>
            <w:tcW w:w="610" w:type="pct"/>
            <w:noWrap/>
            <w:vAlign w:val="bottom"/>
            <w:hideMark/>
          </w:tcPr>
          <w:p w14:paraId="6A9732A5" w14:textId="795A3BBD"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r w:rsidR="00446A2A" w:rsidRPr="00446A2A">
              <w:rPr>
                <w:rFonts w:ascii="Calibri" w:hAnsi="Calibri" w:cs="Calibri"/>
                <w:b/>
                <w:bCs/>
                <w:sz w:val="24"/>
                <w:szCs w:val="24"/>
              </w:rPr>
              <w:t> Party</w:t>
            </w:r>
          </w:p>
        </w:tc>
        <w:tc>
          <w:tcPr>
            <w:tcW w:w="950" w:type="pct"/>
            <w:noWrap/>
            <w:vAlign w:val="bottom"/>
            <w:hideMark/>
          </w:tcPr>
          <w:p w14:paraId="457ECECA"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0" w:type="pct"/>
            <w:noWrap/>
            <w:vAlign w:val="bottom"/>
            <w:hideMark/>
          </w:tcPr>
          <w:p w14:paraId="2CCFF5F9"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0" w:type="pct"/>
            <w:noWrap/>
            <w:vAlign w:val="bottom"/>
            <w:hideMark/>
          </w:tcPr>
          <w:p w14:paraId="411C1C16"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0" w:type="pct"/>
            <w:noWrap/>
            <w:vAlign w:val="bottom"/>
            <w:hideMark/>
          </w:tcPr>
          <w:p w14:paraId="6E6E4E88"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0" w:type="pct"/>
            <w:noWrap/>
            <w:vAlign w:val="bottom"/>
            <w:hideMark/>
          </w:tcPr>
          <w:p w14:paraId="18C7AFBE"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3FE73FE1" w14:textId="77777777" w:rsidTr="007F06A5">
        <w:trPr>
          <w:trHeight w:val="255"/>
        </w:trPr>
        <w:tc>
          <w:tcPr>
            <w:tcW w:w="610" w:type="pct"/>
            <w:noWrap/>
            <w:vAlign w:val="bottom"/>
            <w:hideMark/>
          </w:tcPr>
          <w:p w14:paraId="0BBA3395"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950" w:type="pct"/>
            <w:noWrap/>
            <w:vAlign w:val="bottom"/>
            <w:hideMark/>
          </w:tcPr>
          <w:p w14:paraId="0159A02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$27,040,600</w:t>
            </w:r>
          </w:p>
        </w:tc>
        <w:tc>
          <w:tcPr>
            <w:tcW w:w="860" w:type="pct"/>
            <w:noWrap/>
            <w:vAlign w:val="bottom"/>
            <w:hideMark/>
          </w:tcPr>
          <w:p w14:paraId="666143B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$26,661,466</w:t>
            </w:r>
          </w:p>
        </w:tc>
        <w:tc>
          <w:tcPr>
            <w:tcW w:w="860" w:type="pct"/>
            <w:noWrap/>
            <w:vAlign w:val="bottom"/>
            <w:hideMark/>
          </w:tcPr>
          <w:p w14:paraId="3C6FBDFD"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$25,855,933</w:t>
            </w:r>
          </w:p>
        </w:tc>
        <w:tc>
          <w:tcPr>
            <w:tcW w:w="860" w:type="pct"/>
            <w:noWrap/>
            <w:vAlign w:val="bottom"/>
            <w:hideMark/>
          </w:tcPr>
          <w:p w14:paraId="25D8778A"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$24,648,200</w:t>
            </w:r>
          </w:p>
        </w:tc>
        <w:tc>
          <w:tcPr>
            <w:tcW w:w="860" w:type="pct"/>
            <w:noWrap/>
            <w:vAlign w:val="bottom"/>
            <w:hideMark/>
          </w:tcPr>
          <w:p w14:paraId="7C6EC0C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$26,520,692</w:t>
            </w:r>
          </w:p>
        </w:tc>
      </w:tr>
      <w:tr w:rsidR="00BE1B59" w:rsidRPr="00446A2A" w14:paraId="4C5812E9" w14:textId="77777777" w:rsidTr="007F06A5">
        <w:trPr>
          <w:trHeight w:val="255"/>
        </w:trPr>
        <w:tc>
          <w:tcPr>
            <w:tcW w:w="610" w:type="pct"/>
            <w:noWrap/>
            <w:vAlign w:val="bottom"/>
            <w:hideMark/>
          </w:tcPr>
          <w:p w14:paraId="258A78A0"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950" w:type="pct"/>
            <w:noWrap/>
            <w:vAlign w:val="bottom"/>
            <w:hideMark/>
          </w:tcPr>
          <w:p w14:paraId="4C425C7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p>
        </w:tc>
        <w:tc>
          <w:tcPr>
            <w:tcW w:w="860" w:type="pct"/>
            <w:noWrap/>
            <w:vAlign w:val="bottom"/>
            <w:hideMark/>
          </w:tcPr>
          <w:p w14:paraId="28E1AF2D"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$17,329,953</w:t>
            </w:r>
          </w:p>
        </w:tc>
        <w:tc>
          <w:tcPr>
            <w:tcW w:w="860" w:type="pct"/>
            <w:noWrap/>
            <w:vAlign w:val="bottom"/>
            <w:hideMark/>
          </w:tcPr>
          <w:p w14:paraId="750A0D70"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$18,661,298</w:t>
            </w:r>
          </w:p>
        </w:tc>
        <w:tc>
          <w:tcPr>
            <w:tcW w:w="860" w:type="pct"/>
            <w:noWrap/>
            <w:vAlign w:val="bottom"/>
            <w:hideMark/>
          </w:tcPr>
          <w:p w14:paraId="1DB2757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$12,578,750</w:t>
            </w:r>
          </w:p>
        </w:tc>
        <w:tc>
          <w:tcPr>
            <w:tcW w:w="860" w:type="pct"/>
            <w:noWrap/>
            <w:vAlign w:val="bottom"/>
            <w:hideMark/>
          </w:tcPr>
          <w:p w14:paraId="6250AF0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$12,085,638</w:t>
            </w:r>
          </w:p>
        </w:tc>
      </w:tr>
      <w:tr w:rsidR="00BE1B59" w:rsidRPr="00446A2A" w14:paraId="4A55C016" w14:textId="77777777" w:rsidTr="007F06A5">
        <w:trPr>
          <w:trHeight w:val="255"/>
        </w:trPr>
        <w:tc>
          <w:tcPr>
            <w:tcW w:w="610" w:type="pct"/>
            <w:noWrap/>
            <w:vAlign w:val="bottom"/>
            <w:hideMark/>
          </w:tcPr>
          <w:p w14:paraId="69DA4D48"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950" w:type="pct"/>
            <w:noWrap/>
            <w:vAlign w:val="bottom"/>
            <w:hideMark/>
          </w:tcPr>
          <w:p w14:paraId="76D3BEC9"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$27,040,600</w:t>
            </w:r>
          </w:p>
        </w:tc>
        <w:tc>
          <w:tcPr>
            <w:tcW w:w="860" w:type="pct"/>
            <w:noWrap/>
            <w:vAlign w:val="bottom"/>
            <w:hideMark/>
          </w:tcPr>
          <w:p w14:paraId="344B19F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$16,236,833</w:t>
            </w:r>
          </w:p>
        </w:tc>
        <w:tc>
          <w:tcPr>
            <w:tcW w:w="860" w:type="pct"/>
            <w:noWrap/>
            <w:vAlign w:val="bottom"/>
            <w:hideMark/>
          </w:tcPr>
          <w:p w14:paraId="4030A0DA"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$17,220,051</w:t>
            </w:r>
          </w:p>
        </w:tc>
        <w:tc>
          <w:tcPr>
            <w:tcW w:w="860" w:type="pct"/>
            <w:noWrap/>
            <w:vAlign w:val="bottom"/>
            <w:hideMark/>
          </w:tcPr>
          <w:p w14:paraId="2497AFE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$12,578,750</w:t>
            </w:r>
          </w:p>
        </w:tc>
        <w:tc>
          <w:tcPr>
            <w:tcW w:w="860" w:type="pct"/>
            <w:noWrap/>
            <w:vAlign w:val="bottom"/>
            <w:hideMark/>
          </w:tcPr>
          <w:p w14:paraId="6A43E930"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$12,085,638</w:t>
            </w:r>
          </w:p>
        </w:tc>
      </w:tr>
    </w:tbl>
    <w:p w14:paraId="508FF1A1" w14:textId="77777777" w:rsidR="00BA35F1" w:rsidRDefault="00BA35F1" w:rsidP="007F06A5">
      <w:pPr>
        <w:spacing w:before="240"/>
      </w:pPr>
      <w:r>
        <w:br w:type="page"/>
      </w:r>
    </w:p>
    <w:p w14:paraId="59183C91" w14:textId="0EDD0831" w:rsidR="00446A2A" w:rsidRPr="00446A2A" w:rsidRDefault="00446A2A" w:rsidP="007F06A5">
      <w:pPr>
        <w:spacing w:before="240"/>
        <w:rPr>
          <w:rFonts w:ascii="Calibri" w:hAnsi="Calibri" w:cs="Calibri"/>
          <w:sz w:val="24"/>
          <w:szCs w:val="24"/>
        </w:rPr>
      </w:pPr>
      <w:r>
        <w:t xml:space="preserve">Jackson Parish, </w:t>
      </w:r>
      <w:r w:rsidRPr="00446A2A">
        <w:t>Assessment</w:t>
      </w:r>
      <w:r>
        <w:t xml:space="preserve"> </w:t>
      </w:r>
      <w:r w:rsidR="007F06A5" w:rsidRPr="007F06A5">
        <w:t>2040004221</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777"/>
        <w:gridCol w:w="1608"/>
        <w:gridCol w:w="1608"/>
        <w:gridCol w:w="1608"/>
        <w:gridCol w:w="1608"/>
      </w:tblGrid>
      <w:tr w:rsidR="00BE1B59" w:rsidRPr="00446A2A" w14:paraId="35CDD8CF" w14:textId="77777777" w:rsidTr="007F06A5">
        <w:trPr>
          <w:trHeight w:val="255"/>
        </w:trPr>
        <w:tc>
          <w:tcPr>
            <w:tcW w:w="610" w:type="pct"/>
            <w:noWrap/>
            <w:vAlign w:val="bottom"/>
            <w:hideMark/>
          </w:tcPr>
          <w:p w14:paraId="2C4A4ECB" w14:textId="15B2B8F3"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r w:rsidR="00446A2A" w:rsidRPr="00446A2A">
              <w:rPr>
                <w:rFonts w:ascii="Calibri" w:hAnsi="Calibri" w:cs="Calibri"/>
                <w:b/>
                <w:bCs/>
                <w:sz w:val="24"/>
                <w:szCs w:val="24"/>
              </w:rPr>
              <w:t> Party</w:t>
            </w:r>
          </w:p>
        </w:tc>
        <w:tc>
          <w:tcPr>
            <w:tcW w:w="950" w:type="pct"/>
            <w:noWrap/>
            <w:vAlign w:val="bottom"/>
            <w:hideMark/>
          </w:tcPr>
          <w:p w14:paraId="39BD8E06"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0" w:type="pct"/>
            <w:noWrap/>
            <w:vAlign w:val="bottom"/>
            <w:hideMark/>
          </w:tcPr>
          <w:p w14:paraId="37FE5293"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0" w:type="pct"/>
            <w:noWrap/>
            <w:vAlign w:val="bottom"/>
            <w:hideMark/>
          </w:tcPr>
          <w:p w14:paraId="32B29570"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0" w:type="pct"/>
            <w:noWrap/>
            <w:vAlign w:val="bottom"/>
            <w:hideMark/>
          </w:tcPr>
          <w:p w14:paraId="081BC0D5"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0" w:type="pct"/>
            <w:noWrap/>
            <w:vAlign w:val="bottom"/>
            <w:hideMark/>
          </w:tcPr>
          <w:p w14:paraId="2BC1685F"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2FE9347B" w14:textId="77777777" w:rsidTr="007F06A5">
        <w:trPr>
          <w:trHeight w:val="255"/>
        </w:trPr>
        <w:tc>
          <w:tcPr>
            <w:tcW w:w="610" w:type="pct"/>
            <w:noWrap/>
            <w:vAlign w:val="bottom"/>
            <w:hideMark/>
          </w:tcPr>
          <w:p w14:paraId="35033DF0"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950" w:type="pct"/>
            <w:noWrap/>
            <w:vAlign w:val="bottom"/>
            <w:hideMark/>
          </w:tcPr>
          <w:p w14:paraId="586BF7A1"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$54,081,200</w:t>
            </w:r>
          </w:p>
        </w:tc>
        <w:tc>
          <w:tcPr>
            <w:tcW w:w="860" w:type="pct"/>
            <w:noWrap/>
            <w:vAlign w:val="bottom"/>
            <w:hideMark/>
          </w:tcPr>
          <w:p w14:paraId="4107B45A"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$53,322,800</w:t>
            </w:r>
          </w:p>
        </w:tc>
        <w:tc>
          <w:tcPr>
            <w:tcW w:w="860" w:type="pct"/>
            <w:noWrap/>
            <w:vAlign w:val="bottom"/>
            <w:hideMark/>
          </w:tcPr>
          <w:p w14:paraId="5F9ECADE"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$51,711,800</w:t>
            </w:r>
          </w:p>
        </w:tc>
        <w:tc>
          <w:tcPr>
            <w:tcW w:w="860" w:type="pct"/>
            <w:noWrap/>
            <w:vAlign w:val="bottom"/>
            <w:hideMark/>
          </w:tcPr>
          <w:p w14:paraId="69D98F3F"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$49,296,333</w:t>
            </w:r>
          </w:p>
        </w:tc>
        <w:tc>
          <w:tcPr>
            <w:tcW w:w="860" w:type="pct"/>
            <w:noWrap/>
            <w:vAlign w:val="bottom"/>
            <w:hideMark/>
          </w:tcPr>
          <w:p w14:paraId="5A59539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$53,041,384</w:t>
            </w:r>
          </w:p>
        </w:tc>
      </w:tr>
      <w:tr w:rsidR="00BE1B59" w:rsidRPr="00446A2A" w14:paraId="51DFA35E" w14:textId="77777777" w:rsidTr="007F06A5">
        <w:trPr>
          <w:trHeight w:val="255"/>
        </w:trPr>
        <w:tc>
          <w:tcPr>
            <w:tcW w:w="610" w:type="pct"/>
            <w:noWrap/>
            <w:vAlign w:val="bottom"/>
            <w:hideMark/>
          </w:tcPr>
          <w:p w14:paraId="208F1DFD"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950" w:type="pct"/>
            <w:noWrap/>
            <w:vAlign w:val="bottom"/>
            <w:hideMark/>
          </w:tcPr>
          <w:p w14:paraId="2D7E3B71"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 </w:t>
            </w:r>
          </w:p>
        </w:tc>
        <w:tc>
          <w:tcPr>
            <w:tcW w:w="860" w:type="pct"/>
            <w:noWrap/>
            <w:vAlign w:val="bottom"/>
            <w:hideMark/>
          </w:tcPr>
          <w:p w14:paraId="5EBB314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$34,659,820</w:t>
            </w:r>
          </w:p>
        </w:tc>
        <w:tc>
          <w:tcPr>
            <w:tcW w:w="860" w:type="pct"/>
            <w:noWrap/>
            <w:vAlign w:val="bottom"/>
            <w:hideMark/>
          </w:tcPr>
          <w:p w14:paraId="4E5F02E1"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$37,322,595</w:t>
            </w:r>
          </w:p>
        </w:tc>
        <w:tc>
          <w:tcPr>
            <w:tcW w:w="860" w:type="pct"/>
            <w:noWrap/>
            <w:vAlign w:val="bottom"/>
            <w:hideMark/>
          </w:tcPr>
          <w:p w14:paraId="2DFE5C83"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$25,157,501</w:t>
            </w:r>
          </w:p>
        </w:tc>
        <w:tc>
          <w:tcPr>
            <w:tcW w:w="860" w:type="pct"/>
            <w:noWrap/>
            <w:vAlign w:val="bottom"/>
            <w:hideMark/>
          </w:tcPr>
          <w:p w14:paraId="122FE13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$24,171,277</w:t>
            </w:r>
          </w:p>
        </w:tc>
      </w:tr>
      <w:tr w:rsidR="00BE1B59" w:rsidRPr="00446A2A" w14:paraId="2A8F9F63" w14:textId="77777777" w:rsidTr="007F06A5">
        <w:trPr>
          <w:trHeight w:val="255"/>
        </w:trPr>
        <w:tc>
          <w:tcPr>
            <w:tcW w:w="610" w:type="pct"/>
            <w:noWrap/>
            <w:vAlign w:val="bottom"/>
            <w:hideMark/>
          </w:tcPr>
          <w:p w14:paraId="0B8B2352"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950" w:type="pct"/>
            <w:noWrap/>
            <w:vAlign w:val="bottom"/>
            <w:hideMark/>
          </w:tcPr>
          <w:p w14:paraId="73D6AFE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$54,081,200</w:t>
            </w:r>
          </w:p>
        </w:tc>
        <w:tc>
          <w:tcPr>
            <w:tcW w:w="860" w:type="pct"/>
            <w:noWrap/>
            <w:vAlign w:val="bottom"/>
            <w:hideMark/>
          </w:tcPr>
          <w:p w14:paraId="0E27ADE1"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$32,473,585</w:t>
            </w:r>
          </w:p>
        </w:tc>
        <w:tc>
          <w:tcPr>
            <w:tcW w:w="860" w:type="pct"/>
            <w:noWrap/>
            <w:vAlign w:val="bottom"/>
            <w:hideMark/>
          </w:tcPr>
          <w:p w14:paraId="23464C9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$34,440,059</w:t>
            </w:r>
          </w:p>
        </w:tc>
        <w:tc>
          <w:tcPr>
            <w:tcW w:w="860" w:type="pct"/>
            <w:noWrap/>
            <w:vAlign w:val="bottom"/>
            <w:hideMark/>
          </w:tcPr>
          <w:p w14:paraId="5AF5B52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$25,157,501</w:t>
            </w:r>
          </w:p>
        </w:tc>
        <w:tc>
          <w:tcPr>
            <w:tcW w:w="860" w:type="pct"/>
            <w:noWrap/>
            <w:vAlign w:val="bottom"/>
            <w:hideMark/>
          </w:tcPr>
          <w:p w14:paraId="1F340AD0"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$24,171,277</w:t>
            </w:r>
          </w:p>
        </w:tc>
      </w:tr>
    </w:tbl>
    <w:p w14:paraId="341583F9" w14:textId="7A9ADCE7" w:rsidR="00446A2A" w:rsidRPr="00446A2A" w:rsidRDefault="00446A2A" w:rsidP="007F06A5">
      <w:pPr>
        <w:spacing w:before="240"/>
        <w:rPr>
          <w:rFonts w:ascii="Calibri" w:hAnsi="Calibri" w:cs="Calibri"/>
          <w:sz w:val="24"/>
          <w:szCs w:val="24"/>
        </w:rPr>
      </w:pPr>
      <w:r>
        <w:t xml:space="preserve">Jackson Parish, </w:t>
      </w:r>
      <w:r>
        <w:t>Totals: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777"/>
        <w:gridCol w:w="1608"/>
        <w:gridCol w:w="1608"/>
        <w:gridCol w:w="1608"/>
        <w:gridCol w:w="1608"/>
      </w:tblGrid>
      <w:tr w:rsidR="00BE1B59" w:rsidRPr="00446A2A" w14:paraId="362E5A47" w14:textId="77777777" w:rsidTr="007F06A5">
        <w:trPr>
          <w:trHeight w:val="255"/>
        </w:trPr>
        <w:tc>
          <w:tcPr>
            <w:tcW w:w="610" w:type="pct"/>
            <w:noWrap/>
            <w:vAlign w:val="bottom"/>
            <w:hideMark/>
          </w:tcPr>
          <w:p w14:paraId="45003C02" w14:textId="046DFC5A"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 </w:t>
            </w:r>
            <w:r w:rsidR="00446A2A" w:rsidRPr="007F06A5">
              <w:rPr>
                <w:rFonts w:ascii="Calibri" w:hAnsi="Calibri" w:cs="Calibri"/>
                <w:b/>
                <w:bCs/>
                <w:sz w:val="24"/>
                <w:szCs w:val="24"/>
              </w:rPr>
              <w:t> Party</w:t>
            </w:r>
          </w:p>
        </w:tc>
        <w:tc>
          <w:tcPr>
            <w:tcW w:w="950" w:type="pct"/>
            <w:noWrap/>
            <w:vAlign w:val="bottom"/>
            <w:hideMark/>
          </w:tcPr>
          <w:p w14:paraId="350AE1A2"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2019</w:t>
            </w:r>
          </w:p>
        </w:tc>
        <w:tc>
          <w:tcPr>
            <w:tcW w:w="860" w:type="pct"/>
            <w:noWrap/>
            <w:vAlign w:val="bottom"/>
            <w:hideMark/>
          </w:tcPr>
          <w:p w14:paraId="7D7ED392"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2020</w:t>
            </w:r>
          </w:p>
        </w:tc>
        <w:tc>
          <w:tcPr>
            <w:tcW w:w="860" w:type="pct"/>
            <w:noWrap/>
            <w:vAlign w:val="bottom"/>
            <w:hideMark/>
          </w:tcPr>
          <w:p w14:paraId="0587926F"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2021</w:t>
            </w:r>
          </w:p>
        </w:tc>
        <w:tc>
          <w:tcPr>
            <w:tcW w:w="860" w:type="pct"/>
            <w:noWrap/>
            <w:vAlign w:val="bottom"/>
            <w:hideMark/>
          </w:tcPr>
          <w:p w14:paraId="3D0972AF"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2022</w:t>
            </w:r>
          </w:p>
        </w:tc>
        <w:tc>
          <w:tcPr>
            <w:tcW w:w="860" w:type="pct"/>
            <w:noWrap/>
            <w:vAlign w:val="bottom"/>
            <w:hideMark/>
          </w:tcPr>
          <w:p w14:paraId="2E816C8E"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2023</w:t>
            </w:r>
          </w:p>
        </w:tc>
      </w:tr>
      <w:tr w:rsidR="00BE1B59" w:rsidRPr="00446A2A" w14:paraId="75801B93" w14:textId="77777777" w:rsidTr="007F06A5">
        <w:trPr>
          <w:trHeight w:val="255"/>
        </w:trPr>
        <w:tc>
          <w:tcPr>
            <w:tcW w:w="610" w:type="pct"/>
            <w:noWrap/>
            <w:vAlign w:val="bottom"/>
            <w:hideMark/>
          </w:tcPr>
          <w:p w14:paraId="2B4A35B4"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Assessor</w:t>
            </w:r>
          </w:p>
        </w:tc>
        <w:tc>
          <w:tcPr>
            <w:tcW w:w="950" w:type="pct"/>
            <w:noWrap/>
            <w:vAlign w:val="bottom"/>
            <w:hideMark/>
          </w:tcPr>
          <w:p w14:paraId="58FB010C" w14:textId="0966D586"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$135,563,789</w:t>
            </w:r>
            <w:r w:rsidR="0030545D" w:rsidRPr="00446A2A">
              <w:rPr>
                <w:rStyle w:val="FootnoteReference"/>
                <w:rFonts w:ascii="Calibri" w:eastAsia="Times New Roman" w:hAnsi="Calibri" w:cs="Calibri"/>
                <w:kern w:val="0"/>
                <w:sz w:val="24"/>
                <w:szCs w:val="24"/>
                <w14:ligatures w14:val="none"/>
              </w:rPr>
              <w:footnoteReference w:id="16"/>
            </w:r>
          </w:p>
        </w:tc>
        <w:tc>
          <w:tcPr>
            <w:tcW w:w="860" w:type="pct"/>
            <w:noWrap/>
            <w:vAlign w:val="bottom"/>
            <w:hideMark/>
          </w:tcPr>
          <w:p w14:paraId="30640E3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$133,671,599</w:t>
            </w:r>
          </w:p>
        </w:tc>
        <w:tc>
          <w:tcPr>
            <w:tcW w:w="860" w:type="pct"/>
            <w:noWrap/>
            <w:vAlign w:val="bottom"/>
            <w:hideMark/>
          </w:tcPr>
          <w:p w14:paraId="09821A31"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$129,632,671</w:t>
            </w:r>
          </w:p>
        </w:tc>
        <w:tc>
          <w:tcPr>
            <w:tcW w:w="860" w:type="pct"/>
            <w:noWrap/>
            <w:vAlign w:val="bottom"/>
            <w:hideMark/>
          </w:tcPr>
          <w:p w14:paraId="5F3384D8"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$123,580,133</w:t>
            </w:r>
          </w:p>
        </w:tc>
        <w:tc>
          <w:tcPr>
            <w:tcW w:w="860" w:type="pct"/>
            <w:noWrap/>
            <w:vAlign w:val="bottom"/>
            <w:hideMark/>
          </w:tcPr>
          <w:p w14:paraId="567C3167"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$132,992,291</w:t>
            </w:r>
          </w:p>
        </w:tc>
      </w:tr>
      <w:tr w:rsidR="00BE1B59" w:rsidRPr="00446A2A" w14:paraId="51155702" w14:textId="77777777" w:rsidTr="007F06A5">
        <w:trPr>
          <w:trHeight w:val="255"/>
        </w:trPr>
        <w:tc>
          <w:tcPr>
            <w:tcW w:w="610" w:type="pct"/>
            <w:noWrap/>
            <w:vAlign w:val="bottom"/>
            <w:hideMark/>
          </w:tcPr>
          <w:p w14:paraId="4EAECA77"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RIG</w:t>
            </w:r>
          </w:p>
        </w:tc>
        <w:tc>
          <w:tcPr>
            <w:tcW w:w="950" w:type="pct"/>
            <w:noWrap/>
            <w:vAlign w:val="bottom"/>
            <w:hideMark/>
          </w:tcPr>
          <w:p w14:paraId="229A1F02"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$90,515,942</w:t>
            </w:r>
          </w:p>
        </w:tc>
        <w:tc>
          <w:tcPr>
            <w:tcW w:w="860" w:type="pct"/>
            <w:noWrap/>
            <w:vAlign w:val="bottom"/>
            <w:hideMark/>
          </w:tcPr>
          <w:p w14:paraId="0DA45929"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$86,886,539</w:t>
            </w:r>
          </w:p>
        </w:tc>
        <w:tc>
          <w:tcPr>
            <w:tcW w:w="860" w:type="pct"/>
            <w:noWrap/>
            <w:vAlign w:val="bottom"/>
            <w:hideMark/>
          </w:tcPr>
          <w:p w14:paraId="74FD2DA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$93,561,361</w:t>
            </w:r>
          </w:p>
        </w:tc>
        <w:tc>
          <w:tcPr>
            <w:tcW w:w="860" w:type="pct"/>
            <w:noWrap/>
            <w:vAlign w:val="bottom"/>
            <w:hideMark/>
          </w:tcPr>
          <w:p w14:paraId="2FCDE6AB"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$63,066,912</w:t>
            </w:r>
          </w:p>
        </w:tc>
        <w:tc>
          <w:tcPr>
            <w:tcW w:w="860" w:type="pct"/>
            <w:noWrap/>
            <w:vAlign w:val="bottom"/>
            <w:hideMark/>
          </w:tcPr>
          <w:p w14:paraId="0916F72E"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$60,605,385</w:t>
            </w:r>
          </w:p>
        </w:tc>
      </w:tr>
      <w:tr w:rsidR="00BE1B59" w:rsidRPr="00446A2A" w14:paraId="517B436C" w14:textId="77777777" w:rsidTr="007F06A5">
        <w:trPr>
          <w:trHeight w:val="255"/>
        </w:trPr>
        <w:tc>
          <w:tcPr>
            <w:tcW w:w="610" w:type="pct"/>
            <w:noWrap/>
            <w:vAlign w:val="bottom"/>
            <w:hideMark/>
          </w:tcPr>
          <w:p w14:paraId="3AB7C384" w14:textId="77777777" w:rsidR="00BE1B59" w:rsidRPr="007F06A5" w:rsidRDefault="00BE1B59" w:rsidP="00BA35F1">
            <w:pPr>
              <w:spacing w:before="240"/>
              <w:ind w:firstLine="0"/>
              <w:rPr>
                <w:rFonts w:ascii="Calibri" w:hAnsi="Calibri" w:cs="Calibri"/>
                <w:b/>
                <w:bCs/>
                <w:sz w:val="24"/>
                <w:szCs w:val="24"/>
              </w:rPr>
            </w:pPr>
            <w:r w:rsidRPr="007F06A5">
              <w:rPr>
                <w:rFonts w:ascii="Calibri" w:hAnsi="Calibri" w:cs="Calibri"/>
                <w:b/>
                <w:bCs/>
                <w:sz w:val="24"/>
                <w:szCs w:val="24"/>
              </w:rPr>
              <w:t>LTC</w:t>
            </w:r>
          </w:p>
        </w:tc>
        <w:tc>
          <w:tcPr>
            <w:tcW w:w="950" w:type="pct"/>
            <w:noWrap/>
            <w:vAlign w:val="bottom"/>
            <w:hideMark/>
          </w:tcPr>
          <w:p w14:paraId="36D465FC" w14:textId="563A40F5"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$135,563,789</w:t>
            </w:r>
            <w:r w:rsidR="0030545D" w:rsidRPr="00446A2A">
              <w:rPr>
                <w:rStyle w:val="FootnoteReference"/>
                <w:rFonts w:ascii="Calibri" w:eastAsia="Times New Roman" w:hAnsi="Calibri" w:cs="Calibri"/>
                <w:color w:val="000000"/>
                <w:kern w:val="0"/>
                <w:sz w:val="24"/>
                <w:szCs w:val="24"/>
                <w14:ligatures w14:val="none"/>
              </w:rPr>
              <w:footnoteReference w:id="17"/>
            </w:r>
          </w:p>
        </w:tc>
        <w:tc>
          <w:tcPr>
            <w:tcW w:w="860" w:type="pct"/>
            <w:noWrap/>
            <w:vAlign w:val="bottom"/>
            <w:hideMark/>
          </w:tcPr>
          <w:p w14:paraId="0D5955E2"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$81,406,004</w:t>
            </w:r>
          </w:p>
        </w:tc>
        <w:tc>
          <w:tcPr>
            <w:tcW w:w="860" w:type="pct"/>
            <w:noWrap/>
            <w:vAlign w:val="bottom"/>
            <w:hideMark/>
          </w:tcPr>
          <w:p w14:paraId="374070B4"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$86,335,359</w:t>
            </w:r>
          </w:p>
        </w:tc>
        <w:tc>
          <w:tcPr>
            <w:tcW w:w="860" w:type="pct"/>
            <w:noWrap/>
            <w:vAlign w:val="bottom"/>
            <w:hideMark/>
          </w:tcPr>
          <w:p w14:paraId="3E308CAC"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$63,066,912</w:t>
            </w:r>
          </w:p>
        </w:tc>
        <w:tc>
          <w:tcPr>
            <w:tcW w:w="860" w:type="pct"/>
            <w:noWrap/>
            <w:vAlign w:val="bottom"/>
            <w:hideMark/>
          </w:tcPr>
          <w:p w14:paraId="67916FCF" w14:textId="77777777" w:rsidR="00BE1B59" w:rsidRPr="00446A2A" w:rsidRDefault="00BE1B59" w:rsidP="00BA35F1">
            <w:pPr>
              <w:spacing w:before="240"/>
              <w:ind w:firstLine="0"/>
              <w:rPr>
                <w:rFonts w:ascii="Calibri" w:hAnsi="Calibri" w:cs="Calibri"/>
                <w:sz w:val="24"/>
                <w:szCs w:val="24"/>
              </w:rPr>
            </w:pPr>
            <w:r w:rsidRPr="00446A2A">
              <w:rPr>
                <w:rFonts w:ascii="Calibri" w:hAnsi="Calibri" w:cs="Calibri"/>
                <w:sz w:val="24"/>
                <w:szCs w:val="24"/>
              </w:rPr>
              <w:t>$60,605,385</w:t>
            </w:r>
          </w:p>
        </w:tc>
      </w:tr>
    </w:tbl>
    <w:p w14:paraId="42909DEB" w14:textId="25BCF823" w:rsidR="00D96913" w:rsidRPr="000C04B7" w:rsidRDefault="00D96913" w:rsidP="007F06A5">
      <w:pPr>
        <w:pStyle w:val="Heading3"/>
        <w:spacing w:before="240"/>
      </w:pPr>
      <w:r>
        <w:t>Standard of Review</w:t>
      </w:r>
    </w:p>
    <w:p w14:paraId="1473BD74" w14:textId="3FC301F9" w:rsidR="0072664C" w:rsidRDefault="00D96913" w:rsidP="00FE71F3">
      <w:r w:rsidRPr="00D96913">
        <w:t xml:space="preserve">Louisiana Constitution article VII, § 18(E) provides that the correctness of assessments by the assessor shall be subject to review first by the parish governing authority, then by the LTC or its successor, and finally by the courts, all in accordance </w:t>
      </w:r>
      <w:r w:rsidRPr="00D96913">
        <w:lastRenderedPageBreak/>
        <w:t xml:space="preserve">with procedures established by law. </w:t>
      </w:r>
      <w:r w:rsidRPr="00D96913">
        <w:rPr>
          <w:i/>
          <w:iCs/>
        </w:rPr>
        <w:t>See</w:t>
      </w:r>
      <w:r w:rsidRPr="00D96913">
        <w:t xml:space="preserve"> La. R.S. 47:1931</w:t>
      </w:r>
      <w:r w:rsidR="00DF5B0A">
        <w:t xml:space="preserve">, </w:t>
      </w:r>
      <w:r w:rsidRPr="00D96913">
        <w:t>1992</w:t>
      </w:r>
      <w:r w:rsidR="00DF5B0A">
        <w:t xml:space="preserve">, </w:t>
      </w:r>
      <w:r w:rsidRPr="00D96913">
        <w:t>1989</w:t>
      </w:r>
      <w:r w:rsidR="00DF5B0A">
        <w:t xml:space="preserve">, and </w:t>
      </w:r>
      <w:r w:rsidRPr="00D96913">
        <w:t xml:space="preserve">1998. </w:t>
      </w:r>
      <w:r>
        <w:t xml:space="preserve">La. R.S. </w:t>
      </w:r>
      <w:r w:rsidRPr="00D96913">
        <w:t>47:1998 authorizes judicial review of the correctness of a tax assessment</w:t>
      </w:r>
      <w:r w:rsidR="0072664C">
        <w:t>. Review by the Board is subject to the same provisions that govern review by a district court. La. R.S. 47:1998(H)(2).</w:t>
      </w:r>
      <w:r w:rsidR="00A04619">
        <w:t xml:space="preserve"> La. Const. art. V, </w:t>
      </w:r>
      <w:r w:rsidR="00A04619" w:rsidRPr="00D96913">
        <w:t>§</w:t>
      </w:r>
      <w:r w:rsidR="00A04619">
        <w:t xml:space="preserve"> 35.</w:t>
      </w:r>
      <w:r w:rsidR="0072664C" w:rsidRPr="00D96913">
        <w:t xml:space="preserve"> </w:t>
      </w:r>
      <w:r w:rsidR="0072664C">
        <w:t xml:space="preserve">When reviewing </w:t>
      </w:r>
      <w:proofErr w:type="gramStart"/>
      <w:r w:rsidR="0072664C">
        <w:t>the LTC</w:t>
      </w:r>
      <w:r w:rsidR="00DF5B0A">
        <w:t>’</w:t>
      </w:r>
      <w:r w:rsidR="0072664C">
        <w:t>s</w:t>
      </w:r>
      <w:proofErr w:type="gramEnd"/>
      <w:r w:rsidR="0072664C">
        <w:t xml:space="preserve"> decision, the Board functions as an appellate court. La. R.S. 47:1998; </w:t>
      </w:r>
      <w:r w:rsidR="0072664C" w:rsidRPr="0072664C">
        <w:rPr>
          <w:i/>
          <w:iCs/>
        </w:rPr>
        <w:t>see Williams v. Opportunity Homes Ltd. P</w:t>
      </w:r>
      <w:r w:rsidR="00DF5B0A">
        <w:rPr>
          <w:i/>
          <w:iCs/>
        </w:rPr>
        <w:t>’</w:t>
      </w:r>
      <w:r w:rsidR="0072664C" w:rsidRPr="0072664C">
        <w:rPr>
          <w:i/>
          <w:iCs/>
        </w:rPr>
        <w:t>ship.</w:t>
      </w:r>
      <w:r w:rsidR="0072664C" w:rsidRPr="00D96913">
        <w:t xml:space="preserve">, 2017-0955 </w:t>
      </w:r>
      <w:r w:rsidR="0072664C">
        <w:t xml:space="preserve">at p. 7 </w:t>
      </w:r>
      <w:r w:rsidR="0072664C" w:rsidRPr="00D96913">
        <w:t>(La. 3/13/18), 240 So.3d 161</w:t>
      </w:r>
      <w:r w:rsidR="0072664C">
        <w:t>, 166.</w:t>
      </w:r>
      <w:r w:rsidR="0072664C" w:rsidRPr="00D96913">
        <w:t xml:space="preserve"> </w:t>
      </w:r>
      <w:r w:rsidR="0072664C">
        <w:t>The scope of the Board</w:t>
      </w:r>
      <w:r w:rsidR="00DF5B0A">
        <w:t>’</w:t>
      </w:r>
      <w:r w:rsidR="0072664C">
        <w:t xml:space="preserve">s review is confined to the record made before </w:t>
      </w:r>
      <w:proofErr w:type="gramStart"/>
      <w:r w:rsidR="0072664C">
        <w:t>the LTC</w:t>
      </w:r>
      <w:proofErr w:type="gramEnd"/>
      <w:r w:rsidR="0072664C">
        <w:t>. La. R.S. 49:978.1(F).</w:t>
      </w:r>
    </w:p>
    <w:p w14:paraId="7F8E9624" w14:textId="718B5BD1" w:rsidR="0072664C" w:rsidRDefault="0018780F" w:rsidP="00FE71F3">
      <w:r>
        <w:t>T</w:t>
      </w:r>
      <w:r w:rsidR="0072664C">
        <w:t xml:space="preserve">he </w:t>
      </w:r>
      <w:r>
        <w:t xml:space="preserve">applicable </w:t>
      </w:r>
      <w:r w:rsidR="0072664C">
        <w:t>standard of review is governed by the APA</w:t>
      </w:r>
      <w:r>
        <w:t>, specifically</w:t>
      </w:r>
      <w:r w:rsidR="0072664C">
        <w:t xml:space="preserve"> La. R.S. 49:978.1(G)</w:t>
      </w:r>
      <w:r>
        <w:t>, which provides</w:t>
      </w:r>
      <w:r w:rsidR="0072664C">
        <w:t>:</w:t>
      </w:r>
    </w:p>
    <w:p w14:paraId="0EBE605D" w14:textId="32005CA5" w:rsidR="00C72483" w:rsidRDefault="0072664C" w:rsidP="00BA35F1">
      <w:pPr>
        <w:pStyle w:val="Quote"/>
        <w:spacing w:line="360" w:lineRule="auto"/>
      </w:pPr>
      <w:r>
        <w:t>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0B3ED0DB" w14:textId="207280C0" w:rsidR="0072664C" w:rsidRDefault="0072664C" w:rsidP="00BA35F1">
      <w:pPr>
        <w:pStyle w:val="Quote"/>
        <w:spacing w:line="360" w:lineRule="auto"/>
      </w:pPr>
      <w:r>
        <w:t xml:space="preserve">(1) In violation of constitutional or statutory </w:t>
      </w:r>
      <w:proofErr w:type="gramStart"/>
      <w:r>
        <w:t>provisions;</w:t>
      </w:r>
      <w:proofErr w:type="gramEnd"/>
    </w:p>
    <w:p w14:paraId="03AD1275" w14:textId="63C21B2B" w:rsidR="0072664C" w:rsidRDefault="0072664C" w:rsidP="00BA35F1">
      <w:pPr>
        <w:pStyle w:val="Quote"/>
        <w:spacing w:line="360" w:lineRule="auto"/>
      </w:pPr>
      <w:r>
        <w:t xml:space="preserve">(2) In excess of the statutory authority of the </w:t>
      </w:r>
      <w:proofErr w:type="gramStart"/>
      <w:r>
        <w:t>agency;</w:t>
      </w:r>
      <w:proofErr w:type="gramEnd"/>
    </w:p>
    <w:p w14:paraId="0B5074E2" w14:textId="28991D29" w:rsidR="0072664C" w:rsidRDefault="0072664C" w:rsidP="00BA35F1">
      <w:pPr>
        <w:pStyle w:val="Quote"/>
        <w:spacing w:line="360" w:lineRule="auto"/>
      </w:pPr>
      <w:r>
        <w:t xml:space="preserve">(3) Made upon unlawful </w:t>
      </w:r>
      <w:proofErr w:type="gramStart"/>
      <w:r>
        <w:t>procedure;</w:t>
      </w:r>
      <w:proofErr w:type="gramEnd"/>
    </w:p>
    <w:p w14:paraId="399AA268" w14:textId="15006DE3" w:rsidR="0072664C" w:rsidRDefault="0072664C" w:rsidP="00BA35F1">
      <w:pPr>
        <w:pStyle w:val="Quote"/>
        <w:spacing w:line="360" w:lineRule="auto"/>
      </w:pPr>
      <w:r>
        <w:t xml:space="preserve">(4) Affected by other </w:t>
      </w:r>
      <w:proofErr w:type="gramStart"/>
      <w:r>
        <w:t>error</w:t>
      </w:r>
      <w:proofErr w:type="gramEnd"/>
      <w:r>
        <w:t xml:space="preserve"> of </w:t>
      </w:r>
      <w:proofErr w:type="gramStart"/>
      <w:r>
        <w:t>law;</w:t>
      </w:r>
      <w:proofErr w:type="gramEnd"/>
    </w:p>
    <w:p w14:paraId="6E006573" w14:textId="4C845596" w:rsidR="0072664C" w:rsidRDefault="0072664C" w:rsidP="00BA35F1">
      <w:pPr>
        <w:pStyle w:val="Quote"/>
        <w:spacing w:line="360" w:lineRule="auto"/>
      </w:pPr>
      <w:r>
        <w:t>(5) Arbitrary or capricious or characterized by abuse of discretion or clearly unwarranted exercise of discretion; or</w:t>
      </w:r>
    </w:p>
    <w:p w14:paraId="4BB0CE87" w14:textId="292FABA0" w:rsidR="0072664C" w:rsidRDefault="0072664C" w:rsidP="00BA35F1">
      <w:pPr>
        <w:pStyle w:val="Quote"/>
        <w:spacing w:line="360" w:lineRule="auto"/>
      </w:pPr>
      <w:r>
        <w:t xml:space="preserve">(6) Not supported and sustainable by a preponderance of evidence as determined by the reviewing court. In the application of this rule, the court shall make its own determination and conclusions of fact by a preponderance of evidence based upon its own evaluation of the record reviewed in its entirety upon judicial review. In the application of the rule, where the agency </w:t>
      </w:r>
      <w:proofErr w:type="gramStart"/>
      <w:r>
        <w:t>has the opportunity to</w:t>
      </w:r>
      <w:proofErr w:type="gramEnd"/>
      <w:r>
        <w:t xml:space="preserve"> judge the credibility of witnesses by first-hand observation of demeanor on the witness stand and the reviewing court does not, due regard shall be given to the agency</w:t>
      </w:r>
      <w:r w:rsidR="00DF5B0A">
        <w:t>’</w:t>
      </w:r>
      <w:r>
        <w:t xml:space="preserve">s determination of credibility issues. </w:t>
      </w:r>
    </w:p>
    <w:p w14:paraId="6A968693" w14:textId="0A79EBF3" w:rsidR="0072664C" w:rsidRDefault="0072664C" w:rsidP="005B2CD6">
      <w:pPr>
        <w:ind w:firstLine="0"/>
      </w:pPr>
      <w:r>
        <w:t>Thus, except for matters of witness credibility as stated in subparagraph (6) above, the LTC</w:t>
      </w:r>
      <w:r w:rsidR="00DF5B0A">
        <w:t>’</w:t>
      </w:r>
      <w:r>
        <w:t xml:space="preserve">s findings are not entitled to </w:t>
      </w:r>
      <w:proofErr w:type="gramStart"/>
      <w:r>
        <w:t>deference</w:t>
      </w:r>
      <w:proofErr w:type="gramEnd"/>
      <w:r>
        <w:t xml:space="preserve"> from the Board. </w:t>
      </w:r>
    </w:p>
    <w:p w14:paraId="69075F51" w14:textId="5CDCE707" w:rsidR="00EF27BB" w:rsidRDefault="00D96913" w:rsidP="00FE71F3">
      <w:r w:rsidRPr="00D96913">
        <w:t xml:space="preserve">Each assessor is charged with the responsibility of determining the </w:t>
      </w:r>
      <w:r w:rsidR="00DF5B0A">
        <w:t>FMV</w:t>
      </w:r>
      <w:r w:rsidRPr="00D96913">
        <w:t xml:space="preserve"> of all property subject to taxation within </w:t>
      </w:r>
      <w:r w:rsidR="00DF5B0A">
        <w:t xml:space="preserve">their </w:t>
      </w:r>
      <w:r w:rsidRPr="00D96913">
        <w:t xml:space="preserve">parish or district. </w:t>
      </w:r>
      <w:r w:rsidR="00DF5B0A">
        <w:t>FMV</w:t>
      </w:r>
      <w:r w:rsidRPr="00D96913">
        <w:t xml:space="preserve"> is determined in accordance with criteria established by law and applied uniformly throughout the state. La. Const. art. VII, § 18(D). </w:t>
      </w:r>
      <w:r w:rsidR="00DF5B0A">
        <w:t>FMV</w:t>
      </w:r>
      <w:r w:rsidRPr="00D96913">
        <w:t xml:space="preserve"> is the price for property that would be agreed upon between a willing and informed buyer and a willing and informed seller under </w:t>
      </w:r>
      <w:r w:rsidRPr="00D96913">
        <w:lastRenderedPageBreak/>
        <w:t xml:space="preserve">usual and ordinary circumstances; it </w:t>
      </w:r>
      <w:r w:rsidR="0018780F">
        <w:t>is</w:t>
      </w:r>
      <w:r w:rsidRPr="00D96913">
        <w:t xml:space="preserve"> the highest price estimated in terms of money that property will bring if exposed for sale on the open market with reasonable time allowed to find a purchaser who is buying with knowledge of all uses and purposes to which the property is best adapted and for which it can be legally used. La. R.S. 47:2321; LAC </w:t>
      </w:r>
      <w:proofErr w:type="gramStart"/>
      <w:r w:rsidRPr="00D96913">
        <w:t>61:V.</w:t>
      </w:r>
      <w:proofErr w:type="gramEnd"/>
      <w:r w:rsidRPr="00D96913">
        <w:t>109. To ensure uniformity</w:t>
      </w:r>
      <w:r w:rsidR="0018780F">
        <w:t xml:space="preserve"> of assessment</w:t>
      </w:r>
      <w:r w:rsidRPr="00D96913">
        <w:t xml:space="preserve">, the LTC has adopted guidelines, procedures, rules, and regulations, which each assessor </w:t>
      </w:r>
      <w:r w:rsidR="00ED541B">
        <w:t xml:space="preserve">must </w:t>
      </w:r>
      <w:r w:rsidRPr="00D96913">
        <w:t xml:space="preserve">follow in determining </w:t>
      </w:r>
      <w:r w:rsidR="00ED541B">
        <w:t>FMV</w:t>
      </w:r>
      <w:r w:rsidRPr="00D96913">
        <w:t xml:space="preserve">. La. R.S. 47:2323(A) and (B). </w:t>
      </w:r>
    </w:p>
    <w:p w14:paraId="6393B79A" w14:textId="6638BB06" w:rsidR="00D96913" w:rsidRPr="00D96913" w:rsidRDefault="0072664C" w:rsidP="00FE71F3">
      <w:r>
        <w:t>LAC</w:t>
      </w:r>
      <w:r w:rsidR="00D96913" w:rsidRPr="00D96913">
        <w:t xml:space="preserve"> </w:t>
      </w:r>
      <w:proofErr w:type="gramStart"/>
      <w:r w:rsidR="00D96913" w:rsidRPr="00D96913">
        <w:t>61</w:t>
      </w:r>
      <w:r>
        <w:t>:</w:t>
      </w:r>
      <w:r w:rsidR="00D96913" w:rsidRPr="00D96913">
        <w:t>V</w:t>
      </w:r>
      <w:r>
        <w:t>.</w:t>
      </w:r>
      <w:proofErr w:type="gramEnd"/>
      <w:r>
        <w:t>1301</w:t>
      </w:r>
      <w:r w:rsidR="00D96913" w:rsidRPr="00D96913">
        <w:t xml:space="preserve"> contains the </w:t>
      </w:r>
      <w:r w:rsidR="00DF5B0A">
        <w:t>“</w:t>
      </w:r>
      <w:r w:rsidR="00D96913" w:rsidRPr="00D96913">
        <w:t>Guidelines for Ascertaining the Fair Market Value of Pipelines.</w:t>
      </w:r>
      <w:r w:rsidR="00DF5B0A">
        <w:t>”</w:t>
      </w:r>
      <w:r w:rsidR="00D96913" w:rsidRPr="00D96913">
        <w:t xml:space="preserve"> </w:t>
      </w:r>
      <w:r w:rsidR="0018780F">
        <w:t xml:space="preserve">The regulation applies to intrastate pipelines, but not to </w:t>
      </w:r>
      <w:r w:rsidR="00ED541B">
        <w:t>public service property assessed by the LTC (</w:t>
      </w:r>
      <w:r w:rsidR="00ED541B" w:rsidRPr="00ED541B">
        <w:rPr>
          <w:i/>
          <w:iCs/>
        </w:rPr>
        <w:t>i.e.</w:t>
      </w:r>
      <w:r w:rsidR="00ED541B">
        <w:t xml:space="preserve"> interstate pipeline systems)</w:t>
      </w:r>
      <w:r w:rsidR="0018780F">
        <w:t>.</w:t>
      </w:r>
      <w:r w:rsidR="00ED541B">
        <w:t xml:space="preserve"> </w:t>
      </w:r>
      <w:r w:rsidR="0018780F">
        <w:t>T</w:t>
      </w:r>
      <w:r w:rsidR="00EF27BB">
        <w:t xml:space="preserve">he </w:t>
      </w:r>
      <w:r w:rsidR="00ED541B">
        <w:t xml:space="preserve">regulation </w:t>
      </w:r>
      <w:r w:rsidR="00EF27BB">
        <w:t xml:space="preserve">requires the Assessors to value </w:t>
      </w:r>
      <w:r w:rsidR="00ED541B">
        <w:t xml:space="preserve">(intrastate) pipeline property </w:t>
      </w:r>
      <w:r w:rsidR="00D96913" w:rsidRPr="00D96913">
        <w:t xml:space="preserve">using a cost approach based on schedules found in LAC </w:t>
      </w:r>
      <w:proofErr w:type="gramStart"/>
      <w:r w:rsidR="00D96913" w:rsidRPr="00D96913">
        <w:t>61:V.</w:t>
      </w:r>
      <w:proofErr w:type="gramEnd"/>
      <w:r w:rsidR="00D96913" w:rsidRPr="00D96913">
        <w:t xml:space="preserve">1307. </w:t>
      </w:r>
      <w:r w:rsidR="00D96913" w:rsidRPr="00ED541B">
        <w:rPr>
          <w:i/>
          <w:iCs/>
        </w:rPr>
        <w:t>See</w:t>
      </w:r>
      <w:r w:rsidR="00D96913" w:rsidRPr="00D96913">
        <w:t xml:space="preserve"> LAC </w:t>
      </w:r>
      <w:proofErr w:type="gramStart"/>
      <w:r w:rsidR="00D96913" w:rsidRPr="00D96913">
        <w:t>61:V.</w:t>
      </w:r>
      <w:proofErr w:type="gramEnd"/>
      <w:r w:rsidR="00D96913" w:rsidRPr="00D96913">
        <w:t>1301(A). In using th</w:t>
      </w:r>
      <w:r w:rsidR="0018780F">
        <w:t>is</w:t>
      </w:r>
      <w:r w:rsidR="00D96913" w:rsidRPr="00D96913">
        <w:t xml:space="preserve"> cost approach, the assessor values the property by estimating the replacement or reproduction cost of the improvements and deducting estimated depreciation. La. R.S. 47:2323(C)(2); LAC </w:t>
      </w:r>
      <w:proofErr w:type="gramStart"/>
      <w:r w:rsidR="00D96913" w:rsidRPr="00D96913">
        <w:t>61:V.</w:t>
      </w:r>
      <w:proofErr w:type="gramEnd"/>
      <w:r w:rsidR="00D96913" w:rsidRPr="00D96913">
        <w:t xml:space="preserve">1301(A)(2). </w:t>
      </w:r>
      <w:r w:rsidR="00ED541B">
        <w:t>In addition</w:t>
      </w:r>
      <w:r w:rsidR="00EF27BB">
        <w:t xml:space="preserve">, </w:t>
      </w:r>
      <w:r w:rsidR="00ED541B">
        <w:t>LTC regulations require that t</w:t>
      </w:r>
      <w:r w:rsidR="00D96913" w:rsidRPr="00D96913">
        <w:t xml:space="preserve">he assessor </w:t>
      </w:r>
      <w:r w:rsidR="00DF5B0A">
        <w:t>“</w:t>
      </w:r>
      <w:r w:rsidR="00D96913" w:rsidRPr="00D96913">
        <w:t>shall</w:t>
      </w:r>
      <w:r w:rsidR="00DF5B0A">
        <w:t>”</w:t>
      </w:r>
      <w:r w:rsidR="00D96913" w:rsidRPr="00D96913">
        <w:t xml:space="preserve"> consider functional and/or economic obsolescence as substantiated by the taxpayer in writing. LAC </w:t>
      </w:r>
      <w:proofErr w:type="gramStart"/>
      <w:r w:rsidR="00D96913" w:rsidRPr="00D96913">
        <w:t>61:V.</w:t>
      </w:r>
      <w:proofErr w:type="gramEnd"/>
      <w:r w:rsidR="00D96913" w:rsidRPr="00D96913">
        <w:t>1301(A)(2)</w:t>
      </w:r>
      <w:r w:rsidR="00ED541B">
        <w:t>,</w:t>
      </w:r>
      <w:r w:rsidR="00D96913" w:rsidRPr="00D96913">
        <w:t xml:space="preserve"> 1305(F).</w:t>
      </w:r>
      <w:r w:rsidR="00ED541B" w:rsidRPr="00ED541B">
        <w:t xml:space="preserve"> </w:t>
      </w:r>
      <w:r w:rsidR="00ED541B">
        <w:t>LTC regulations also state that “[p]</w:t>
      </w:r>
      <w:proofErr w:type="spellStart"/>
      <w:r w:rsidR="00ED541B" w:rsidRPr="00EF27BB">
        <w:t>ipeline</w:t>
      </w:r>
      <w:proofErr w:type="spellEnd"/>
      <w:r w:rsidR="00ED541B" w:rsidRPr="00EF27BB">
        <w:t xml:space="preserve"> sales, properly documented, should be considered by the assessor as the fair market value, provided the sale meets all tests relative to </w:t>
      </w:r>
      <w:proofErr w:type="spellStart"/>
      <w:r w:rsidR="00ED541B" w:rsidRPr="00EF27BB">
        <w:t>it</w:t>
      </w:r>
      <w:proofErr w:type="spellEnd"/>
      <w:r w:rsidR="00ED541B" w:rsidRPr="00EF27BB">
        <w:t xml:space="preserve"> being a valid sale.</w:t>
      </w:r>
      <w:r w:rsidR="00ED541B">
        <w:t>”</w:t>
      </w:r>
      <w:r w:rsidR="00ED541B" w:rsidRPr="00EF27BB">
        <w:t xml:space="preserve"> LAC </w:t>
      </w:r>
      <w:proofErr w:type="gramStart"/>
      <w:r w:rsidR="00ED541B" w:rsidRPr="00EF27BB">
        <w:t>61:V.</w:t>
      </w:r>
      <w:proofErr w:type="gramEnd"/>
      <w:r w:rsidR="00ED541B">
        <w:t>1305</w:t>
      </w:r>
      <w:r w:rsidR="00ED541B" w:rsidRPr="00EF27BB">
        <w:t>(</w:t>
      </w:r>
      <w:r w:rsidR="00ED541B">
        <w:t>G</w:t>
      </w:r>
      <w:r w:rsidR="00ED541B" w:rsidRPr="00EF27BB">
        <w:t>).</w:t>
      </w:r>
    </w:p>
    <w:p w14:paraId="020CDD40" w14:textId="177F615B" w:rsidR="00D96913" w:rsidRDefault="00D96913" w:rsidP="00FE71F3">
      <w:r w:rsidRPr="00D96913">
        <w:t>La. R.S. 47:2324 requires the assessor to gather all data necessary to properly determine</w:t>
      </w:r>
      <w:r w:rsidR="00ED541B">
        <w:t xml:space="preserve"> the</w:t>
      </w:r>
      <w:r w:rsidRPr="00D96913">
        <w:t xml:space="preserve"> </w:t>
      </w:r>
      <w:r w:rsidR="00ED541B">
        <w:t xml:space="preserve">FMV </w:t>
      </w:r>
      <w:r w:rsidRPr="00D96913">
        <w:t>of property in his jurisdiction</w:t>
      </w:r>
      <w:r w:rsidR="00ED541B">
        <w:t>. However,</w:t>
      </w:r>
      <w:r w:rsidRPr="00D96913">
        <w:t xml:space="preserve"> </w:t>
      </w:r>
      <w:r w:rsidR="00ED541B" w:rsidRPr="00D96913">
        <w:t xml:space="preserve">the burden of producing sufficient data and information to substantiate </w:t>
      </w:r>
      <w:r w:rsidRPr="00D96913">
        <w:t xml:space="preserve">obsolescence </w:t>
      </w:r>
      <w:r w:rsidR="00ED541B">
        <w:t>falls on the taxpayer</w:t>
      </w:r>
      <w:r w:rsidR="0018780F">
        <w:t xml:space="preserve"> making the claim</w:t>
      </w:r>
      <w:r w:rsidRPr="00D96913">
        <w:t xml:space="preserve">. </w:t>
      </w:r>
      <w:r w:rsidR="00EF27BB" w:rsidRPr="00EF27BB">
        <w:rPr>
          <w:i/>
          <w:iCs/>
        </w:rPr>
        <w:t>Regency Intrastate Gas, LLC v. Louisiana Tax Comm</w:t>
      </w:r>
      <w:r w:rsidR="00DF5B0A">
        <w:rPr>
          <w:i/>
          <w:iCs/>
        </w:rPr>
        <w:t>’</w:t>
      </w:r>
      <w:r w:rsidR="00EF27BB" w:rsidRPr="00EF27BB">
        <w:rPr>
          <w:i/>
          <w:iCs/>
        </w:rPr>
        <w:t>n</w:t>
      </w:r>
      <w:r w:rsidR="00EF27BB">
        <w:t xml:space="preserve">, 2021-0271, p. 7 (La. App. 1 Cir. 9/27/21), 329 So.3d 838, 845, </w:t>
      </w:r>
      <w:r w:rsidR="00EF27BB" w:rsidRPr="00EF27BB">
        <w:rPr>
          <w:i/>
          <w:iCs/>
        </w:rPr>
        <w:t>writ denied</w:t>
      </w:r>
      <w:r w:rsidR="00EF27BB">
        <w:t>, 2021-01559 (La. 1/19/22), 331 So.3d 320</w:t>
      </w:r>
      <w:r w:rsidR="00F1000F">
        <w:t xml:space="preserve">. </w:t>
      </w:r>
      <w:r w:rsidR="00ED541B">
        <w:t>Furthermore, t</w:t>
      </w:r>
      <w:r w:rsidRPr="00D96913">
        <w:t>he assessor retains the discretion to determine whether the taxpayer</w:t>
      </w:r>
      <w:r w:rsidR="00ED541B">
        <w:t>’s evidence is sufficient to</w:t>
      </w:r>
      <w:r w:rsidRPr="00D96913">
        <w:t xml:space="preserve"> substantiate </w:t>
      </w:r>
      <w:r w:rsidR="00ED541B">
        <w:t>their claim</w:t>
      </w:r>
      <w:r w:rsidRPr="00D96913">
        <w:t xml:space="preserve">. </w:t>
      </w:r>
      <w:r w:rsidRPr="00F1000F">
        <w:rPr>
          <w:i/>
          <w:iCs/>
        </w:rPr>
        <w:t>ANR Pipeline Co. v. ANR Pipeline Co.</w:t>
      </w:r>
      <w:r w:rsidRPr="00D96913">
        <w:t>, 11-379, p. 8 (La.</w:t>
      </w:r>
      <w:r w:rsidR="00F1000F">
        <w:t xml:space="preserve"> </w:t>
      </w:r>
      <w:r w:rsidRPr="00D96913">
        <w:t xml:space="preserve">App. 3 Cir. 8/10/11), 73 So.3d 398, 403. Consistent with La. R.S. 47:1957, the assessor may request additional </w:t>
      </w:r>
      <w:r w:rsidRPr="00D96913">
        <w:lastRenderedPageBreak/>
        <w:t xml:space="preserve">documentation when ascertaining the </w:t>
      </w:r>
      <w:r w:rsidR="00A7059D">
        <w:t>FMV</w:t>
      </w:r>
      <w:r w:rsidRPr="00D96913">
        <w:t xml:space="preserve"> of pipeline property. LAC </w:t>
      </w:r>
      <w:proofErr w:type="gramStart"/>
      <w:r w:rsidRPr="00D96913">
        <w:t>61:V.</w:t>
      </w:r>
      <w:proofErr w:type="gramEnd"/>
      <w:r w:rsidRPr="00D96913">
        <w:t>1301(A)(2).</w:t>
      </w:r>
    </w:p>
    <w:p w14:paraId="53706019" w14:textId="7BD804BF" w:rsidR="00F1000F" w:rsidRPr="00ED541B" w:rsidRDefault="00F1000F" w:rsidP="00352B5A">
      <w:pPr>
        <w:pStyle w:val="Heading3"/>
      </w:pPr>
      <w:r w:rsidRPr="00ED541B">
        <w:t>LTC</w:t>
      </w:r>
      <w:r w:rsidR="00DF5B0A" w:rsidRPr="00ED541B">
        <w:t>’</w:t>
      </w:r>
      <w:r w:rsidRPr="00ED541B">
        <w:t>s Evidentiary Rulings</w:t>
      </w:r>
    </w:p>
    <w:p w14:paraId="79A4929C" w14:textId="4C54607F" w:rsidR="00F1000F" w:rsidRDefault="00EC0809" w:rsidP="00FE71F3">
      <w:r>
        <w:t>RIG</w:t>
      </w:r>
      <w:r w:rsidR="00F1000F">
        <w:t xml:space="preserve"> </w:t>
      </w:r>
      <w:proofErr w:type="gramStart"/>
      <w:r w:rsidR="00F1000F">
        <w:t>appeal</w:t>
      </w:r>
      <w:r>
        <w:t>s</w:t>
      </w:r>
      <w:proofErr w:type="gramEnd"/>
      <w:r w:rsidR="00F1000F">
        <w:t xml:space="preserve"> </w:t>
      </w:r>
      <w:r w:rsidR="00BB0B8A">
        <w:t xml:space="preserve">multiple </w:t>
      </w:r>
      <w:r w:rsidR="00F1000F">
        <w:t xml:space="preserve">evidentiary rulings by </w:t>
      </w:r>
      <w:proofErr w:type="gramStart"/>
      <w:r w:rsidR="00F1000F">
        <w:t>the LTC</w:t>
      </w:r>
      <w:proofErr w:type="gramEnd"/>
      <w:r w:rsidR="00F1000F">
        <w:t xml:space="preserve"> </w:t>
      </w:r>
      <w:r w:rsidR="0018780F">
        <w:t xml:space="preserve">for several of the </w:t>
      </w:r>
      <w:r w:rsidR="00F1000F">
        <w:t xml:space="preserve">Tax Years at issue. </w:t>
      </w:r>
      <w:proofErr w:type="gramStart"/>
      <w:r w:rsidR="00F1000F">
        <w:t>All of</w:t>
      </w:r>
      <w:proofErr w:type="gramEnd"/>
      <w:r w:rsidR="00F1000F">
        <w:t xml:space="preserve"> the </w:t>
      </w:r>
      <w:r w:rsidR="00BB0B8A">
        <w:t xml:space="preserve">underlying </w:t>
      </w:r>
      <w:r w:rsidR="00F1000F">
        <w:t xml:space="preserve">evidentiary objections </w:t>
      </w:r>
      <w:r w:rsidR="00ED541B">
        <w:t>were raised by the Assessors</w:t>
      </w:r>
      <w:r w:rsidR="00BB0B8A">
        <w:t>.</w:t>
      </w:r>
      <w:r w:rsidR="00ED541B">
        <w:t xml:space="preserve"> </w:t>
      </w:r>
      <w:r w:rsidR="00BB0B8A">
        <w:t xml:space="preserve">Additionally, all such objections concern </w:t>
      </w:r>
      <w:r w:rsidR="00F1000F">
        <w:t xml:space="preserve">the timeliness </w:t>
      </w:r>
      <w:r w:rsidR="00BB0B8A">
        <w:t>or untimeliness with which</w:t>
      </w:r>
      <w:r w:rsidR="00F1000F">
        <w:t xml:space="preserve"> RIG</w:t>
      </w:r>
      <w:r w:rsidR="00BB0B8A">
        <w:t xml:space="preserve"> provided or presented certain documents to the Assessors</w:t>
      </w:r>
      <w:r w:rsidR="00F1000F">
        <w:t xml:space="preserve">. The law governing whether the LTC can consider evidence </w:t>
      </w:r>
      <w:r w:rsidR="00BB0B8A">
        <w:t xml:space="preserve">that was </w:t>
      </w:r>
      <w:r w:rsidR="00F1000F">
        <w:t xml:space="preserve">not </w:t>
      </w:r>
      <w:proofErr w:type="gramStart"/>
      <w:r w:rsidR="00F1000F">
        <w:t xml:space="preserve">timely </w:t>
      </w:r>
      <w:r w:rsidR="00BB0B8A">
        <w:t>provided</w:t>
      </w:r>
      <w:proofErr w:type="gramEnd"/>
      <w:r w:rsidR="00BB0B8A">
        <w:t xml:space="preserve"> or </w:t>
      </w:r>
      <w:r w:rsidR="00F1000F">
        <w:t>presented to the Assessors has been amended over the course of the Tax Years at issue</w:t>
      </w:r>
      <w:r w:rsidR="007C2530">
        <w:t xml:space="preserve">. </w:t>
      </w:r>
    </w:p>
    <w:p w14:paraId="5B3089D3" w14:textId="4D4FE5FD" w:rsidR="007C2530" w:rsidRDefault="007C2530" w:rsidP="00FE71F3">
      <w:r>
        <w:t xml:space="preserve">The law </w:t>
      </w:r>
      <w:r w:rsidR="00BB0B8A">
        <w:t xml:space="preserve">as it was </w:t>
      </w:r>
      <w:r>
        <w:t xml:space="preserve">prior to amendment was </w:t>
      </w:r>
      <w:r w:rsidR="00BB0B8A">
        <w:t xml:space="preserve">explained </w:t>
      </w:r>
      <w:r>
        <w:t xml:space="preserve">by the Louisiana Supreme Court in </w:t>
      </w:r>
      <w:r w:rsidRPr="007C2530">
        <w:rPr>
          <w:i/>
          <w:iCs/>
        </w:rPr>
        <w:t>D90 Energy, LLC v. Jefferson Davis Parish Board of Review</w:t>
      </w:r>
      <w:r>
        <w:t xml:space="preserve">, 2020-00200 (La. 10/1/20), 341 So.3d 492. </w:t>
      </w:r>
      <w:r w:rsidR="009F6F95">
        <w:t>Under La. R.S. 47:1989(A), the LTC is required to conduct hearings concerning property tax appeals of taxpayers and assessors. If the LTC could only review and consider evidence previously submitted to an assessor, the</w:t>
      </w:r>
      <w:r w:rsidR="002F7E5B">
        <w:t>se</w:t>
      </w:r>
      <w:r w:rsidR="009F6F95">
        <w:t xml:space="preserve"> hearing</w:t>
      </w:r>
      <w:r w:rsidR="002F7E5B">
        <w:t>s</w:t>
      </w:r>
      <w:r w:rsidR="009F6F95">
        <w:t xml:space="preserve"> would be rendered </w:t>
      </w:r>
      <w:r w:rsidR="00DF5B0A">
        <w:t>“</w:t>
      </w:r>
      <w:r w:rsidR="009F6F95">
        <w:t>meaningless.</w:t>
      </w:r>
      <w:r w:rsidR="00DF5B0A">
        <w:t>”</w:t>
      </w:r>
      <w:r w:rsidR="009F6F95">
        <w:t xml:space="preserve"> </w:t>
      </w:r>
      <w:r w:rsidR="009F6F95" w:rsidRPr="009F6F95">
        <w:rPr>
          <w:i/>
          <w:iCs/>
        </w:rPr>
        <w:t>D90 Energy</w:t>
      </w:r>
      <w:r w:rsidR="009F6F95">
        <w:t xml:space="preserve">, 341 So.3d at 497. However, </w:t>
      </w:r>
      <w:r w:rsidR="00BB0B8A">
        <w:t xml:space="preserve">that does not mean that </w:t>
      </w:r>
      <w:r w:rsidR="009F6F95">
        <w:t xml:space="preserve">the LTC </w:t>
      </w:r>
      <w:r w:rsidR="00BB0B8A">
        <w:t xml:space="preserve">can </w:t>
      </w:r>
      <w:r w:rsidR="009F6F95">
        <w:t>usurp the assessor</w:t>
      </w:r>
      <w:r w:rsidR="00DF5B0A">
        <w:t>’</w:t>
      </w:r>
      <w:r w:rsidR="009F6F95">
        <w:t xml:space="preserve">s constitutionally established assessment function. </w:t>
      </w:r>
      <w:r w:rsidR="00BB0B8A">
        <w:rPr>
          <w:i/>
          <w:iCs/>
        </w:rPr>
        <w:t>Dow Chemical Co. v. Pitre</w:t>
      </w:r>
      <w:r w:rsidR="00BB0B8A">
        <w:t>, 468 So.2d 747, 755</w:t>
      </w:r>
      <w:r w:rsidR="00EF4E2B">
        <w:t xml:space="preserve"> (La. App. 1 Cir. 1985)</w:t>
      </w:r>
      <w:r w:rsidR="00BB0B8A">
        <w:t xml:space="preserve">, </w:t>
      </w:r>
      <w:r w:rsidR="00BB0B8A">
        <w:rPr>
          <w:i/>
          <w:iCs/>
        </w:rPr>
        <w:t>writ denied</w:t>
      </w:r>
      <w:r w:rsidR="00BB0B8A">
        <w:t>, 474 So.2d 1308 (La. 1985)</w:t>
      </w:r>
      <w:r w:rsidR="009F6F95">
        <w:t xml:space="preserve">. </w:t>
      </w:r>
      <w:r w:rsidR="00BB0B8A">
        <w:t>Accordingly</w:t>
      </w:r>
      <w:r w:rsidR="009F6F95">
        <w:t xml:space="preserve">, the </w:t>
      </w:r>
      <w:r w:rsidR="00BB0B8A">
        <w:t xml:space="preserve">Louisiana Supreme Court held that the </w:t>
      </w:r>
      <w:r w:rsidR="009F6F95">
        <w:t>LTC c</w:t>
      </w:r>
      <w:r w:rsidR="00BB0B8A">
        <w:t>ould</w:t>
      </w:r>
      <w:r w:rsidR="009F6F95">
        <w:t xml:space="preserve"> consider </w:t>
      </w:r>
      <w:r w:rsidR="00BB0B8A">
        <w:t xml:space="preserve">untimely </w:t>
      </w:r>
      <w:r w:rsidR="009F6F95">
        <w:t xml:space="preserve">evidence </w:t>
      </w:r>
      <w:r w:rsidR="00BB0B8A">
        <w:t xml:space="preserve">that was not </w:t>
      </w:r>
      <w:r w:rsidR="009F6F95">
        <w:t xml:space="preserve">intentionally withheld from the assessor. </w:t>
      </w:r>
      <w:r w:rsidR="00BB0B8A" w:rsidRPr="009F6F95">
        <w:rPr>
          <w:i/>
          <w:iCs/>
        </w:rPr>
        <w:t>D90 Energy</w:t>
      </w:r>
      <w:r w:rsidR="00BB0B8A">
        <w:t>, 341 So.3d at</w:t>
      </w:r>
      <w:r w:rsidR="009F6F95">
        <w:rPr>
          <w:i/>
          <w:iCs/>
        </w:rPr>
        <w:t xml:space="preserve"> </w:t>
      </w:r>
      <w:r w:rsidR="00BB0B8A">
        <w:t xml:space="preserve">498, </w:t>
      </w:r>
      <w:r w:rsidR="009F6F95">
        <w:rPr>
          <w:i/>
          <w:iCs/>
        </w:rPr>
        <w:t>citing Dow</w:t>
      </w:r>
      <w:r w:rsidR="00BB0B8A">
        <w:t>, 468 So.2d at 754</w:t>
      </w:r>
      <w:r w:rsidR="009F6F95">
        <w:t>.</w:t>
      </w:r>
    </w:p>
    <w:p w14:paraId="26164CE0" w14:textId="66CC7070" w:rsidR="00370585" w:rsidRDefault="00BB0B8A" w:rsidP="00FE71F3">
      <w:r>
        <w:t>By</w:t>
      </w:r>
      <w:r w:rsidR="009F6F95">
        <w:t xml:space="preserve"> </w:t>
      </w:r>
      <w:r w:rsidR="00EF4E2B">
        <w:t xml:space="preserve">enacting </w:t>
      </w:r>
      <w:r w:rsidR="009F6F95">
        <w:t xml:space="preserve">2021 Act 343, the legislature made extensive changes to La. R.S. 47:1989. </w:t>
      </w:r>
      <w:r w:rsidR="00B72583">
        <w:t>In particular, the legislature amended and expanded La. R.S. 47:1989(C). Prior to</w:t>
      </w:r>
      <w:r w:rsidR="00105346">
        <w:t xml:space="preserve"> the enactment of</w:t>
      </w:r>
      <w:r w:rsidR="00B72583">
        <w:t xml:space="preserve"> Act 343, </w:t>
      </w:r>
      <w:r w:rsidR="00105346">
        <w:t xml:space="preserve">this provision </w:t>
      </w:r>
      <w:r w:rsidR="00B72583">
        <w:t xml:space="preserve">stated that all LTC hearings of valuation appeals </w:t>
      </w:r>
      <w:r w:rsidR="00DF5B0A">
        <w:t>“</w:t>
      </w:r>
      <w:r w:rsidR="00B72583">
        <w:t xml:space="preserve">shall </w:t>
      </w:r>
      <w:r w:rsidR="00B72583" w:rsidRPr="00B72583">
        <w:t>be conducted in accordance with rules and regulations established by the tax commission.</w:t>
      </w:r>
      <w:r w:rsidR="00DF5B0A">
        <w:t>”</w:t>
      </w:r>
      <w:r w:rsidR="00B72583">
        <w:t xml:space="preserve"> As amended, the </w:t>
      </w:r>
      <w:r w:rsidR="00370585">
        <w:t xml:space="preserve">detailed </w:t>
      </w:r>
      <w:r w:rsidR="00B72583">
        <w:t xml:space="preserve">provision </w:t>
      </w:r>
      <w:r w:rsidR="00370585">
        <w:t xml:space="preserve">provides clear </w:t>
      </w:r>
      <w:proofErr w:type="gramStart"/>
      <w:r w:rsidR="00370585">
        <w:lastRenderedPageBreak/>
        <w:t>direction</w:t>
      </w:r>
      <w:proofErr w:type="gramEnd"/>
      <w:r w:rsidR="00370585">
        <w:t xml:space="preserve"> to taxpayers on when to present information and what </w:t>
      </w:r>
      <w:r w:rsidR="00C72483">
        <w:t>is allowed to</w:t>
      </w:r>
      <w:r w:rsidR="00370585">
        <w:t xml:space="preserve"> be presented later.</w:t>
      </w:r>
      <w:r w:rsidR="00370585">
        <w:rPr>
          <w:rStyle w:val="FootnoteReference"/>
        </w:rPr>
        <w:footnoteReference w:id="18"/>
      </w:r>
    </w:p>
    <w:p w14:paraId="3BD490F2" w14:textId="09A10D7B" w:rsidR="00B72583" w:rsidRDefault="00B72583" w:rsidP="00FE71F3">
      <w:r>
        <w:lastRenderedPageBreak/>
        <w:t>Section 3 of Act 343 further provide</w:t>
      </w:r>
      <w:r w:rsidR="002F7E5B">
        <w:t>s</w:t>
      </w:r>
      <w:r>
        <w:t xml:space="preserve"> </w:t>
      </w:r>
      <w:r w:rsidR="002F7E5B">
        <w:t xml:space="preserve">for </w:t>
      </w:r>
      <w:r>
        <w:t>an effective date of January 1, 2022, and state</w:t>
      </w:r>
      <w:r w:rsidR="002F7E5B">
        <w:t>s</w:t>
      </w:r>
      <w:r>
        <w:t xml:space="preserve"> that the </w:t>
      </w:r>
      <w:r w:rsidR="00DF5B0A">
        <w:t>“</w:t>
      </w:r>
      <w:r w:rsidRPr="00B72583">
        <w:t xml:space="preserve">provisions of this Act amending R.S. 47:1989 shall have </w:t>
      </w:r>
      <w:r w:rsidRPr="00B72583">
        <w:lastRenderedPageBreak/>
        <w:t>prospective effect only and shall not be applicable to any case actually pending before the Louisiana Tax Commission or in any court on the effective date of this Act.</w:t>
      </w:r>
      <w:r w:rsidR="00DF5B0A">
        <w:t>”</w:t>
      </w:r>
      <w:r w:rsidR="002276E7">
        <w:t xml:space="preserve"> Based on the administrative record, it appears that RIG</w:t>
      </w:r>
      <w:r w:rsidR="00DF5B0A">
        <w:t>’</w:t>
      </w:r>
      <w:r w:rsidR="002276E7">
        <w:t>s appeals for 2019</w:t>
      </w:r>
      <w:r w:rsidR="00105346">
        <w:t xml:space="preserve">, 2020, and </w:t>
      </w:r>
      <w:r w:rsidR="002276E7">
        <w:t xml:space="preserve">2021 were </w:t>
      </w:r>
      <w:r w:rsidR="00105346">
        <w:t xml:space="preserve">already </w:t>
      </w:r>
      <w:r w:rsidR="002276E7">
        <w:t>pending before the LTC on January 1, 2022. However, RIG</w:t>
      </w:r>
      <w:r w:rsidR="00DF5B0A">
        <w:t>’</w:t>
      </w:r>
      <w:r w:rsidR="002276E7">
        <w:t xml:space="preserve">s appeals for 2022 and 2023 were filed after </w:t>
      </w:r>
      <w:r w:rsidR="00105346">
        <w:t xml:space="preserve">that </w:t>
      </w:r>
      <w:r w:rsidR="002276E7">
        <w:t xml:space="preserve">date. </w:t>
      </w:r>
      <w:r w:rsidR="00A04619">
        <w:t>Thus,</w:t>
      </w:r>
      <w:r w:rsidR="002276E7">
        <w:t xml:space="preserve"> </w:t>
      </w:r>
      <w:r w:rsidR="00105346">
        <w:t>the amended version of La. R.S. 47:1989(C)</w:t>
      </w:r>
      <w:r w:rsidR="002276E7">
        <w:t xml:space="preserve"> does not </w:t>
      </w:r>
      <w:r w:rsidR="00105346">
        <w:t xml:space="preserve">govern the LTC’s evidentiary rulings for </w:t>
      </w:r>
      <w:r w:rsidR="002276E7">
        <w:t>the tax years 2019</w:t>
      </w:r>
      <w:r w:rsidR="00105346">
        <w:t>, 2020,</w:t>
      </w:r>
      <w:r w:rsidR="002276E7">
        <w:t xml:space="preserve"> </w:t>
      </w:r>
      <w:r w:rsidR="00105346">
        <w:t xml:space="preserve">and </w:t>
      </w:r>
      <w:r w:rsidR="002276E7">
        <w:t xml:space="preserve">2021, but does </w:t>
      </w:r>
      <w:r w:rsidR="00105346">
        <w:t xml:space="preserve">govern for </w:t>
      </w:r>
      <w:r w:rsidR="002276E7">
        <w:t>the tax years 2022 and 2023.</w:t>
      </w:r>
    </w:p>
    <w:p w14:paraId="38E439B8" w14:textId="237BA601" w:rsidR="00F1000F" w:rsidRPr="00105346" w:rsidRDefault="00F1000F" w:rsidP="00352B5A">
      <w:pPr>
        <w:pStyle w:val="Heading4"/>
      </w:pPr>
      <w:r w:rsidRPr="00105346">
        <w:t>2019</w:t>
      </w:r>
      <w:r w:rsidR="002276E7" w:rsidRPr="00105346">
        <w:t xml:space="preserve">: </w:t>
      </w:r>
      <w:r w:rsidRPr="00105346">
        <w:t>Exclusion of Ms. Cartwright</w:t>
      </w:r>
      <w:r w:rsidR="00DF5B0A" w:rsidRPr="00105346">
        <w:t>’</w:t>
      </w:r>
      <w:r w:rsidRPr="00105346">
        <w:t>s Appraisal</w:t>
      </w:r>
      <w:r w:rsidR="00EC0809">
        <w:t xml:space="preserve"> and Related Testimony</w:t>
      </w:r>
    </w:p>
    <w:p w14:paraId="5A58DFA0" w14:textId="3BDD29B6" w:rsidR="002F7E5B" w:rsidRDefault="002276E7" w:rsidP="00FE71F3">
      <w:r>
        <w:t>The LTC found that RIG</w:t>
      </w:r>
      <w:r w:rsidR="00DF5B0A">
        <w:t>’</w:t>
      </w:r>
      <w:r>
        <w:t xml:space="preserve">s failure to order the 2019 appraisal from Ms. Cartwright until September 2022 was unexplained. </w:t>
      </w:r>
      <w:r w:rsidR="00CA5D0A">
        <w:t xml:space="preserve">The explanation offered by </w:t>
      </w:r>
      <w:r>
        <w:t xml:space="preserve">RIG </w:t>
      </w:r>
      <w:r w:rsidR="00CA5D0A">
        <w:t xml:space="preserve">was that </w:t>
      </w:r>
      <w:r>
        <w:t xml:space="preserve">Ms. Cartwright </w:t>
      </w:r>
      <w:r w:rsidR="00CA5D0A">
        <w:t xml:space="preserve">contracted COVID while working on the 2019 appraisal. </w:t>
      </w:r>
      <w:r w:rsidR="00105346">
        <w:t xml:space="preserve">That might explain a delay in finishing the appraisal, but it does not explain why RIG waited to request the appraisal in the first place. </w:t>
      </w:r>
      <w:r w:rsidR="00CA5D0A">
        <w:t>The</w:t>
      </w:r>
      <w:r w:rsidR="00105346">
        <w:t>refore, the</w:t>
      </w:r>
      <w:r w:rsidR="00CA5D0A">
        <w:t xml:space="preserve"> Board agrees with </w:t>
      </w:r>
      <w:proofErr w:type="gramStart"/>
      <w:r w:rsidR="00CA5D0A">
        <w:t>the LTC</w:t>
      </w:r>
      <w:proofErr w:type="gramEnd"/>
      <w:r w:rsidR="00CA5D0A">
        <w:t xml:space="preserve"> that </w:t>
      </w:r>
      <w:r w:rsidR="00105346">
        <w:t>RIG did not provide a justification for th</w:t>
      </w:r>
      <w:r w:rsidR="00A04619">
        <w:t>is</w:t>
      </w:r>
      <w:r w:rsidR="00105346">
        <w:t xml:space="preserve"> untimely </w:t>
      </w:r>
      <w:r w:rsidR="002F7E5B">
        <w:t>submittal</w:t>
      </w:r>
      <w:r w:rsidR="00105346">
        <w:t>.</w:t>
      </w:r>
    </w:p>
    <w:p w14:paraId="05D14183" w14:textId="41045FC2" w:rsidR="00CA5D0A" w:rsidRDefault="00CA5D0A" w:rsidP="00FE71F3">
      <w:r>
        <w:t xml:space="preserve"> </w:t>
      </w:r>
      <w:r w:rsidR="00105346">
        <w:t>Notably</w:t>
      </w:r>
      <w:r>
        <w:t>, the First Circuit affirmed the LTC</w:t>
      </w:r>
      <w:r w:rsidR="00DF5B0A">
        <w:t>’</w:t>
      </w:r>
      <w:r>
        <w:t>s decision against RIG for its 2018 appeal on September 25, 2021</w:t>
      </w:r>
      <w:r w:rsidR="002F7E5B">
        <w:t>,</w:t>
      </w:r>
      <w:r w:rsidR="00105346">
        <w:t xml:space="preserve"> and t</w:t>
      </w:r>
      <w:r>
        <w:t>he Louisiana Supreme Court denied RIG</w:t>
      </w:r>
      <w:r w:rsidR="00DF5B0A">
        <w:t>’</w:t>
      </w:r>
      <w:r>
        <w:t xml:space="preserve">s application for Writ of </w:t>
      </w:r>
      <w:r w:rsidRPr="002F7E5B">
        <w:rPr>
          <w:i/>
          <w:iCs/>
        </w:rPr>
        <w:t>Certiorari</w:t>
      </w:r>
      <w:r>
        <w:t xml:space="preserve"> </w:t>
      </w:r>
      <w:r w:rsidR="00105346">
        <w:t xml:space="preserve">from that decision </w:t>
      </w:r>
      <w:r>
        <w:t xml:space="preserve">on January 19, 2022. </w:t>
      </w:r>
      <w:r w:rsidR="00105346">
        <w:t xml:space="preserve">It would appear to the Board that </w:t>
      </w:r>
      <w:proofErr w:type="gramStart"/>
      <w:r w:rsidR="00105346">
        <w:t>by</w:t>
      </w:r>
      <w:proofErr w:type="gramEnd"/>
      <w:r w:rsidR="00105346">
        <w:t xml:space="preserve"> that point in </w:t>
      </w:r>
      <w:r>
        <w:t xml:space="preserve">time, RIG would have been on notice that it needed to try a new approach to </w:t>
      </w:r>
      <w:r w:rsidR="00A04619">
        <w:t>valuation, and</w:t>
      </w:r>
      <w:r w:rsidR="00105346">
        <w:t xml:space="preserve"> </w:t>
      </w:r>
      <w:r w:rsidR="00A04619">
        <w:t xml:space="preserve">it </w:t>
      </w:r>
      <w:r w:rsidR="00105346">
        <w:t>should not have waited to request that Ms. Cartwright perform an appraisal for 2019</w:t>
      </w:r>
      <w:r>
        <w:t xml:space="preserve">. Yet, RIG did not </w:t>
      </w:r>
      <w:r w:rsidR="00105346">
        <w:t xml:space="preserve">do so </w:t>
      </w:r>
      <w:r>
        <w:t xml:space="preserve">for </w:t>
      </w:r>
      <w:r w:rsidR="00105346">
        <w:t xml:space="preserve">another </w:t>
      </w:r>
      <w:r>
        <w:t xml:space="preserve">eight months. </w:t>
      </w:r>
    </w:p>
    <w:p w14:paraId="4778B8E4" w14:textId="52CC3BBE" w:rsidR="00F1000F" w:rsidRDefault="00CA5D0A" w:rsidP="00FE71F3">
      <w:r>
        <w:t>RIG argues that it should be presumed to have good cause for the delay. Under the</w:t>
      </w:r>
      <w:r w:rsidR="00A04619">
        <w:t>se</w:t>
      </w:r>
      <w:r>
        <w:t xml:space="preserve"> circumstances, it </w:t>
      </w:r>
      <w:r w:rsidR="00A04619">
        <w:t>is</w:t>
      </w:r>
      <w:r>
        <w:t xml:space="preserve"> incumbent on RIG to directly explain why they waited so long to request the appraisal. </w:t>
      </w:r>
      <w:r w:rsidR="00014125">
        <w:t xml:space="preserve">Furthermore, </w:t>
      </w:r>
      <w:r w:rsidR="00495BDF">
        <w:t>RIG</w:t>
      </w:r>
      <w:r w:rsidR="00DF5B0A">
        <w:t>’</w:t>
      </w:r>
      <w:r w:rsidR="00495BDF">
        <w:t xml:space="preserve">s submission was untimely under </w:t>
      </w:r>
      <w:proofErr w:type="gramStart"/>
      <w:r w:rsidR="00495BDF">
        <w:t>the LTC</w:t>
      </w:r>
      <w:r w:rsidR="00DF5B0A">
        <w:t>’</w:t>
      </w:r>
      <w:r w:rsidR="00495BDF">
        <w:t>s</w:t>
      </w:r>
      <w:proofErr w:type="gramEnd"/>
      <w:r w:rsidR="00495BDF">
        <w:t xml:space="preserve"> Scheduling Order. As such, the Board finds no error </w:t>
      </w:r>
      <w:r w:rsidR="00014125">
        <w:t xml:space="preserve">in </w:t>
      </w:r>
      <w:r w:rsidR="00495BDF">
        <w:t>the LTC</w:t>
      </w:r>
      <w:r w:rsidR="00014125">
        <w:t>’s</w:t>
      </w:r>
      <w:r w:rsidR="00495BDF">
        <w:t xml:space="preserve"> refus</w:t>
      </w:r>
      <w:r w:rsidR="00014125">
        <w:t>al</w:t>
      </w:r>
      <w:r w:rsidR="00495BDF">
        <w:t xml:space="preserve"> to consider the 2019 appraisal</w:t>
      </w:r>
      <w:r w:rsidR="00EC0809">
        <w:t xml:space="preserve"> and related testimony</w:t>
      </w:r>
      <w:r w:rsidR="00495BDF">
        <w:t xml:space="preserve">. </w:t>
      </w:r>
      <w:r w:rsidR="00105346">
        <w:t>Regardless</w:t>
      </w:r>
      <w:r w:rsidR="00495BDF">
        <w:t>, as explained further below, the Board</w:t>
      </w:r>
      <w:r w:rsidR="00DF5B0A">
        <w:t>’</w:t>
      </w:r>
      <w:r w:rsidR="00495BDF">
        <w:t>s ultimate determination on the substance of RIG</w:t>
      </w:r>
      <w:r w:rsidR="00DF5B0A">
        <w:t>’</w:t>
      </w:r>
      <w:r w:rsidR="00495BDF">
        <w:t>s appeal would not change even if the 2019 appraisal were admitted.</w:t>
      </w:r>
    </w:p>
    <w:p w14:paraId="1E8638EC" w14:textId="28889049" w:rsidR="00F1000F" w:rsidRPr="00105346" w:rsidRDefault="00F1000F" w:rsidP="00352B5A">
      <w:pPr>
        <w:pStyle w:val="Heading4"/>
      </w:pPr>
      <w:r w:rsidRPr="00105346">
        <w:t>2022</w:t>
      </w:r>
      <w:r w:rsidR="00C97C52" w:rsidRPr="00105346">
        <w:t xml:space="preserve"> and 2023: </w:t>
      </w:r>
      <w:r w:rsidRPr="00105346">
        <w:t>Exclusion of RIG</w:t>
      </w:r>
      <w:r w:rsidR="00DF5B0A" w:rsidRPr="00105346">
        <w:t>’</w:t>
      </w:r>
      <w:r w:rsidRPr="00105346">
        <w:t xml:space="preserve">s Exhibits 6, 19, 28, </w:t>
      </w:r>
      <w:r w:rsidR="00014125">
        <w:t xml:space="preserve">and </w:t>
      </w:r>
      <w:r w:rsidRPr="00105346">
        <w:t xml:space="preserve">29 </w:t>
      </w:r>
    </w:p>
    <w:p w14:paraId="52BEF858" w14:textId="595F15FF" w:rsidR="002578A3" w:rsidRDefault="00C97C52" w:rsidP="00FE71F3">
      <w:r>
        <w:t>RIG appeals from the LTC</w:t>
      </w:r>
      <w:r w:rsidR="00DF5B0A">
        <w:t>’</w:t>
      </w:r>
      <w:r>
        <w:t>s evidentiary ruling as to RIG</w:t>
      </w:r>
      <w:r w:rsidR="00DF5B0A">
        <w:t>’</w:t>
      </w:r>
      <w:r>
        <w:t xml:space="preserve">s Exhibits 6, 19, 28, and 29 for the 2022 and 2023 tax years. </w:t>
      </w:r>
      <w:r w:rsidR="005F711D">
        <w:t xml:space="preserve">The documents in question are detailed financial statements, position letters, and a </w:t>
      </w:r>
      <w:r w:rsidR="002F7E5B">
        <w:t>PowerPoint</w:t>
      </w:r>
      <w:r w:rsidR="005F711D">
        <w:t xml:space="preserve"> presentation entitled </w:t>
      </w:r>
      <w:r w:rsidR="00DF5B0A">
        <w:t>“</w:t>
      </w:r>
      <w:r w:rsidR="005F711D">
        <w:t>A Perfect Storm of Obsolescence.</w:t>
      </w:r>
      <w:r w:rsidR="00DF5B0A">
        <w:t>”</w:t>
      </w:r>
      <w:r w:rsidR="005F711D">
        <w:t xml:space="preserve"> </w:t>
      </w:r>
      <w:r>
        <w:t>RIG assert</w:t>
      </w:r>
      <w:r w:rsidR="005F711D">
        <w:t>ed</w:t>
      </w:r>
      <w:r>
        <w:t xml:space="preserve"> that </w:t>
      </w:r>
      <w:r w:rsidR="005F711D">
        <w:t>the financial statements were used in Ms. Cartwright</w:t>
      </w:r>
      <w:r w:rsidR="00DF5B0A">
        <w:t>’</w:t>
      </w:r>
      <w:r w:rsidR="005F711D">
        <w:t xml:space="preserve">s appraisal, and that the Assessors could have requested the documents but did not do so. </w:t>
      </w:r>
    </w:p>
    <w:p w14:paraId="6CC47955" w14:textId="2FDBBD3E" w:rsidR="005F711D" w:rsidRDefault="005F711D" w:rsidP="00FE71F3">
      <w:r>
        <w:t xml:space="preserve">With respect to the position letters and the </w:t>
      </w:r>
      <w:r w:rsidR="002F7E5B">
        <w:t>PowerPoint</w:t>
      </w:r>
      <w:r>
        <w:t>, RIG admits that th</w:t>
      </w:r>
      <w:r w:rsidR="002F7E5B">
        <w:t>es</w:t>
      </w:r>
      <w:r>
        <w:t>e documents were not provided to the Assessors</w:t>
      </w:r>
      <w:r w:rsidR="002578A3">
        <w:t>.</w:t>
      </w:r>
      <w:r>
        <w:t xml:space="preserve"> </w:t>
      </w:r>
      <w:r w:rsidR="002578A3">
        <w:t xml:space="preserve">Nevertheless, RIG </w:t>
      </w:r>
      <w:r>
        <w:t xml:space="preserve">argues that they </w:t>
      </w:r>
      <w:r w:rsidR="002578A3">
        <w:t>are publicly available. The basis for this assertion appears to be that the documents were presented to the LTC during a prior hearing while the Assessors were present. Additionally, RIG</w:t>
      </w:r>
      <w:r w:rsidR="00DF5B0A">
        <w:t>’</w:t>
      </w:r>
      <w:r w:rsidR="002578A3">
        <w:t xml:space="preserve">s counsel argued that the documents summarize and organize </w:t>
      </w:r>
      <w:r w:rsidR="00500E43">
        <w:t xml:space="preserve">information relevant to the case for the convenience and benefit of </w:t>
      </w:r>
      <w:proofErr w:type="gramStart"/>
      <w:r w:rsidR="00500E43">
        <w:t>the LTC</w:t>
      </w:r>
      <w:proofErr w:type="gramEnd"/>
      <w:r w:rsidR="00500E43">
        <w:t>.</w:t>
      </w:r>
    </w:p>
    <w:p w14:paraId="4704F860" w14:textId="0E41E434" w:rsidR="00500E43" w:rsidRDefault="00706F93" w:rsidP="00FE71F3">
      <w:r>
        <w:t>The LTC ruled that RIG failed to provide the documents to the Assessor prior to the deadline for filing an appeal with the B</w:t>
      </w:r>
      <w:r w:rsidR="00014125">
        <w:t xml:space="preserve">oard of </w:t>
      </w:r>
      <w:r>
        <w:t>R</w:t>
      </w:r>
      <w:r w:rsidR="00014125">
        <w:t>eview</w:t>
      </w:r>
      <w:r>
        <w:t xml:space="preserve">. The LTC further found that RIG failed to show good cause </w:t>
      </w:r>
      <w:proofErr w:type="gramStart"/>
      <w:r>
        <w:t>for</w:t>
      </w:r>
      <w:proofErr w:type="gramEnd"/>
      <w:r>
        <w:t xml:space="preserve"> the delay.</w:t>
      </w:r>
      <w:r w:rsidR="00500E43">
        <w:t xml:space="preserve"> The Board agrees. </w:t>
      </w:r>
      <w:r w:rsidR="00014125">
        <w:t>T</w:t>
      </w:r>
      <w:r w:rsidR="00500E43">
        <w:t xml:space="preserve">he situation here is not like the </w:t>
      </w:r>
      <w:r w:rsidR="00014125">
        <w:t xml:space="preserve">situation </w:t>
      </w:r>
      <w:r w:rsidR="00500E43">
        <w:t xml:space="preserve">in </w:t>
      </w:r>
      <w:r w:rsidR="00500E43" w:rsidRPr="00500E43">
        <w:rPr>
          <w:i/>
          <w:iCs/>
        </w:rPr>
        <w:t>Cantium, LLC v. Lafourche Parish Board of Review</w:t>
      </w:r>
      <w:r w:rsidR="00500E43">
        <w:t xml:space="preserve">, B.T.A. Docket No. L01935 (La. Bd. Tax App. 1/27/26); 2026 WL 529790. In </w:t>
      </w:r>
      <w:r w:rsidR="00500E43" w:rsidRPr="00500E43">
        <w:rPr>
          <w:i/>
          <w:iCs/>
        </w:rPr>
        <w:t>Cantium</w:t>
      </w:r>
      <w:r w:rsidR="00500E43">
        <w:t xml:space="preserve">, the taxpayer identified a specific document that was not delivered due to size and confidentiality and offered to make the document available to the assessor for their inspection. Here, RIG </w:t>
      </w:r>
      <w:r w:rsidR="0037689B">
        <w:t xml:space="preserve">did not identify the documents at issue </w:t>
      </w:r>
      <w:r w:rsidR="00A04619">
        <w:t>or</w:t>
      </w:r>
      <w:r w:rsidR="0037689B">
        <w:t xml:space="preserve"> </w:t>
      </w:r>
      <w:proofErr w:type="gramStart"/>
      <w:r w:rsidR="0037689B">
        <w:t>offer</w:t>
      </w:r>
      <w:proofErr w:type="gramEnd"/>
      <w:r w:rsidR="0037689B">
        <w:t xml:space="preserve"> to make them available to the Assessors</w:t>
      </w:r>
      <w:r w:rsidR="00500E43">
        <w:t xml:space="preserve">. </w:t>
      </w:r>
      <w:r w:rsidR="004D4DEA">
        <w:t>Accordingly, the Board affirms the LTC</w:t>
      </w:r>
      <w:r w:rsidR="00DF5B0A">
        <w:t>’</w:t>
      </w:r>
      <w:r w:rsidR="004D4DEA">
        <w:t>s decision to exclude RIG</w:t>
      </w:r>
      <w:r w:rsidR="00DF5B0A">
        <w:t>’</w:t>
      </w:r>
      <w:r w:rsidR="004D4DEA">
        <w:t xml:space="preserve">s </w:t>
      </w:r>
      <w:proofErr w:type="gramStart"/>
      <w:r w:rsidR="004D4DEA">
        <w:t>Exhibits</w:t>
      </w:r>
      <w:proofErr w:type="gramEnd"/>
      <w:r w:rsidR="004D4DEA">
        <w:t xml:space="preserve"> 6, 19, 28, and 29 for the 2022 and 2023 tax years. </w:t>
      </w:r>
      <w:r w:rsidR="002F7E5B">
        <w:t>Moreover</w:t>
      </w:r>
      <w:r w:rsidR="004D4DEA">
        <w:t xml:space="preserve">, there is nothing in the excluded documents that would </w:t>
      </w:r>
      <w:r w:rsidR="00014125">
        <w:t>change the Board’s determination on the substance of RIG’s appeals</w:t>
      </w:r>
      <w:r w:rsidR="004D4DEA">
        <w:t>.</w:t>
      </w:r>
    </w:p>
    <w:p w14:paraId="469C85AD" w14:textId="737F9F3D" w:rsidR="0044095B" w:rsidRPr="000C04B7" w:rsidRDefault="00C651B3" w:rsidP="00352B5A">
      <w:pPr>
        <w:pStyle w:val="Heading3"/>
      </w:pPr>
      <w:r w:rsidRPr="000C04B7">
        <w:t>Discussion</w:t>
      </w:r>
    </w:p>
    <w:p w14:paraId="1D70B15C" w14:textId="1A4AC7DC" w:rsidR="00532EAD" w:rsidRDefault="00532EAD" w:rsidP="00FE71F3">
      <w:r>
        <w:t xml:space="preserve">There is no dispute that the Assessors </w:t>
      </w:r>
      <w:r w:rsidR="00014125">
        <w:t xml:space="preserve">calculated </w:t>
      </w:r>
      <w:r>
        <w:t xml:space="preserve">the </w:t>
      </w:r>
      <w:r w:rsidR="00014125">
        <w:t xml:space="preserve">FMV of the </w:t>
      </w:r>
      <w:r>
        <w:t xml:space="preserve">Property under the cost approach in accordance with the tables promulgated by </w:t>
      </w:r>
      <w:proofErr w:type="gramStart"/>
      <w:r>
        <w:t>the LTC</w:t>
      </w:r>
      <w:proofErr w:type="gramEnd"/>
      <w:r>
        <w:t>.</w:t>
      </w:r>
      <w:r w:rsidR="00014125">
        <w:t xml:space="preserve"> The mathematical soundness of the Assessors’ calculations is also not in question.</w:t>
      </w:r>
      <w:r>
        <w:t xml:space="preserve"> </w:t>
      </w:r>
      <w:r w:rsidR="00014125">
        <w:t>Rather, t</w:t>
      </w:r>
      <w:r w:rsidR="00C651B3">
        <w:t xml:space="preserve">he </w:t>
      </w:r>
      <w:r>
        <w:t xml:space="preserve">question presented </w:t>
      </w:r>
      <w:r w:rsidR="00C651B3">
        <w:t xml:space="preserve">is whether RIG, an intrastate pipeline operator, </w:t>
      </w:r>
      <w:r w:rsidR="00014125">
        <w:t xml:space="preserve">can obtain </w:t>
      </w:r>
      <w:r w:rsidR="00C651B3">
        <w:t xml:space="preserve">a </w:t>
      </w:r>
      <w:r w:rsidR="00C651B3">
        <w:lastRenderedPageBreak/>
        <w:t xml:space="preserve">reduction </w:t>
      </w:r>
      <w:r>
        <w:t xml:space="preserve">in the FMV of the Property </w:t>
      </w:r>
      <w:r w:rsidR="00C651B3">
        <w:t xml:space="preserve">for economic obsolescence </w:t>
      </w:r>
      <w:r w:rsidR="00014125">
        <w:t xml:space="preserve">based on the </w:t>
      </w:r>
      <w:r w:rsidR="00C651B3">
        <w:t>business enterprise</w:t>
      </w:r>
      <w:r>
        <w:t xml:space="preserve"> </w:t>
      </w:r>
      <w:r w:rsidR="00014125">
        <w:t>value of the entire Pipeline System</w:t>
      </w:r>
      <w:r w:rsidR="00C651B3">
        <w:t xml:space="preserve">. </w:t>
      </w:r>
    </w:p>
    <w:p w14:paraId="2D80C9B5" w14:textId="6FA12E32" w:rsidR="00672FCD" w:rsidRDefault="00014125" w:rsidP="00FE71F3">
      <w:r>
        <w:t xml:space="preserve">There is a </w:t>
      </w:r>
      <w:proofErr w:type="gramStart"/>
      <w:r>
        <w:t>constitutionally-grounded</w:t>
      </w:r>
      <w:proofErr w:type="gramEnd"/>
      <w:r>
        <w:t xml:space="preserve"> reason why intrastate pipeline systems are not allowed </w:t>
      </w:r>
      <w:r w:rsidR="002F7E5B">
        <w:t xml:space="preserve">to take </w:t>
      </w:r>
      <w:r>
        <w:t xml:space="preserve">such reductions. </w:t>
      </w:r>
      <w:r w:rsidR="00393B58">
        <w:t>I</w:t>
      </w:r>
      <w:r w:rsidR="001425E6">
        <w:t xml:space="preserve">n </w:t>
      </w:r>
      <w:r w:rsidR="001425E6" w:rsidRPr="001425E6">
        <w:rPr>
          <w:i/>
          <w:iCs/>
        </w:rPr>
        <w:t>Transcontinental Gas Pipeline Corp. v. Louisiana Tax Commission</w:t>
      </w:r>
      <w:r w:rsidR="001425E6">
        <w:t>, 2009-1988 (La. 3/16/10), 32 So.3d 199</w:t>
      </w:r>
      <w:r>
        <w:t>,</w:t>
      </w:r>
      <w:r w:rsidR="001425E6">
        <w:t xml:space="preserve"> interstate pipeline operators argued that Louisiana</w:t>
      </w:r>
      <w:r w:rsidR="00672FCD">
        <w:t xml:space="preserve">’s </w:t>
      </w:r>
      <w:r w:rsidR="00672FCD" w:rsidRPr="00672FCD">
        <w:rPr>
          <w:i/>
          <w:iCs/>
        </w:rPr>
        <w:t>ad valorem</w:t>
      </w:r>
      <w:r w:rsidR="00672FCD">
        <w:t xml:space="preserve"> property tax system</w:t>
      </w:r>
      <w:r w:rsidR="001425E6">
        <w:t xml:space="preserve"> discriminated against interstate commerce</w:t>
      </w:r>
      <w:r w:rsidR="00672FCD">
        <w:t>. The basis for their argument was that the</w:t>
      </w:r>
      <w:r w:rsidR="001425E6">
        <w:t xml:space="preserve"> tax rate for interstate pipelines</w:t>
      </w:r>
      <w:r w:rsidR="002F7E5B">
        <w:t xml:space="preserve"> was </w:t>
      </w:r>
      <w:r w:rsidR="001425E6">
        <w:t xml:space="preserve">twenty-five percent (25%) </w:t>
      </w:r>
      <w:r w:rsidR="00672FCD">
        <w:t xml:space="preserve">of </w:t>
      </w:r>
      <w:r w:rsidR="002F7E5B">
        <w:t xml:space="preserve">the assessed </w:t>
      </w:r>
      <w:r w:rsidR="00672FCD">
        <w:t xml:space="preserve">FMV, </w:t>
      </w:r>
      <w:r w:rsidR="001425E6">
        <w:t xml:space="preserve">but the </w:t>
      </w:r>
      <w:r w:rsidR="00672FCD">
        <w:t xml:space="preserve">tax </w:t>
      </w:r>
      <w:r w:rsidR="001425E6">
        <w:t>rate for intrastate pipelines was</w:t>
      </w:r>
      <w:r w:rsidR="002F7E5B">
        <w:t xml:space="preserve"> </w:t>
      </w:r>
      <w:r w:rsidR="001425E6">
        <w:t>fifteen percent (15%)</w:t>
      </w:r>
      <w:r w:rsidR="00672FCD">
        <w:t xml:space="preserve"> of </w:t>
      </w:r>
      <w:r w:rsidR="002F7E5B">
        <w:t xml:space="preserve">assessed </w:t>
      </w:r>
      <w:r w:rsidR="00672FCD">
        <w:t>FMV</w:t>
      </w:r>
      <w:r w:rsidR="001425E6">
        <w:t xml:space="preserve">. </w:t>
      </w:r>
    </w:p>
    <w:p w14:paraId="7AC61C90" w14:textId="4BDE0CB6" w:rsidR="00C651B3" w:rsidRDefault="001425E6" w:rsidP="00FE71F3">
      <w:r>
        <w:t xml:space="preserve">The Louisiana Supreme Court </w:t>
      </w:r>
      <w:r w:rsidR="00A04619">
        <w:t xml:space="preserve">ultimately </w:t>
      </w:r>
      <w:r>
        <w:t xml:space="preserve">held that there was no </w:t>
      </w:r>
      <w:r w:rsidR="002F7E5B">
        <w:t xml:space="preserve">evidence of the alleged </w:t>
      </w:r>
      <w:r>
        <w:t>discrimination</w:t>
      </w:r>
      <w:r w:rsidR="002F7E5B">
        <w:t xml:space="preserve">, because </w:t>
      </w:r>
      <w:r w:rsidR="00014125">
        <w:t xml:space="preserve">the </w:t>
      </w:r>
      <w:r w:rsidR="002F7E5B">
        <w:t xml:space="preserve">taxpayers </w:t>
      </w:r>
      <w:r w:rsidR="00014125">
        <w:t>could not prove that they actually paid more in tax than</w:t>
      </w:r>
      <w:r>
        <w:t xml:space="preserve"> intrastate pipeline</w:t>
      </w:r>
      <w:r w:rsidR="002F7E5B">
        <w:t xml:space="preserve"> operators</w:t>
      </w:r>
      <w:r w:rsidR="000F5336">
        <w:t xml:space="preserve">. </w:t>
      </w:r>
      <w:r w:rsidR="002F7E5B">
        <w:t>A</w:t>
      </w:r>
      <w:r w:rsidR="000F5336">
        <w:t xml:space="preserve">s public service properties, interstate pipelines </w:t>
      </w:r>
      <w:r w:rsidR="002F7E5B">
        <w:t>are</w:t>
      </w:r>
      <w:r w:rsidR="000F5336">
        <w:t xml:space="preserve"> assessed by the LTC</w:t>
      </w:r>
      <w:r w:rsidR="000F5336" w:rsidRPr="000F5336">
        <w:t xml:space="preserve"> as </w:t>
      </w:r>
      <w:r w:rsidR="00672FCD">
        <w:t xml:space="preserve">business enterprises, </w:t>
      </w:r>
      <w:r w:rsidR="000F5336" w:rsidRPr="000F5336">
        <w:t xml:space="preserve">considering </w:t>
      </w:r>
      <w:proofErr w:type="gramStart"/>
      <w:r w:rsidR="000F5336" w:rsidRPr="000F5336">
        <w:t>all of</w:t>
      </w:r>
      <w:proofErr w:type="gramEnd"/>
      <w:r w:rsidR="000F5336" w:rsidRPr="000F5336">
        <w:t xml:space="preserve"> the </w:t>
      </w:r>
      <w:r w:rsidR="000F5336">
        <w:t xml:space="preserve">available </w:t>
      </w:r>
      <w:r w:rsidR="000F5336" w:rsidRPr="000F5336">
        <w:t>factors, including economic obsolescence and overall income.</w:t>
      </w:r>
      <w:r w:rsidR="000F5336">
        <w:t xml:space="preserve"> In fact, the LTC </w:t>
      </w:r>
      <w:r w:rsidR="002F7E5B">
        <w:t>i</w:t>
      </w:r>
      <w:r w:rsidR="000F5336">
        <w:t>s prohibited f</w:t>
      </w:r>
      <w:r w:rsidR="000F5336" w:rsidRPr="000F5336">
        <w:t>rom valuing the actual property rather than the company itself.</w:t>
      </w:r>
      <w:r w:rsidR="000F5336">
        <w:t xml:space="preserve"> </w:t>
      </w:r>
      <w:r w:rsidR="002F7E5B">
        <w:t xml:space="preserve">The allowance for economic obsolescence based on business enterprise valuation </w:t>
      </w:r>
      <w:r w:rsidR="00672FCD">
        <w:t xml:space="preserve">resulted in a lower actual tax burden than </w:t>
      </w:r>
      <w:r w:rsidR="006E02A9">
        <w:t>what was levied on</w:t>
      </w:r>
      <w:r w:rsidR="00672FCD">
        <w:t xml:space="preserve"> i</w:t>
      </w:r>
      <w:r w:rsidR="000F5336">
        <w:t>ntrastate pipeline</w:t>
      </w:r>
      <w:r w:rsidR="006E02A9">
        <w:t xml:space="preserve"> operators</w:t>
      </w:r>
      <w:r w:rsidR="00672FCD">
        <w:t>.</w:t>
      </w:r>
      <w:r w:rsidR="000F5336">
        <w:t xml:space="preserve"> </w:t>
      </w:r>
      <w:r w:rsidR="00672FCD">
        <w:t>Intrastate pipeline</w:t>
      </w:r>
      <w:r w:rsidR="006E02A9">
        <w:t xml:space="preserve"> property is </w:t>
      </w:r>
      <w:r w:rsidR="000F5336">
        <w:t xml:space="preserve">assessed by </w:t>
      </w:r>
      <w:r w:rsidR="004D4DEA">
        <w:t>p</w:t>
      </w:r>
      <w:r w:rsidR="000F5336">
        <w:t xml:space="preserve">arish assessors. </w:t>
      </w:r>
      <w:r w:rsidR="006E02A9">
        <w:t xml:space="preserve">The Court observed that </w:t>
      </w:r>
      <w:r w:rsidR="006E02A9" w:rsidRPr="000F5336">
        <w:t xml:space="preserve">parish assessors </w:t>
      </w:r>
      <w:r w:rsidR="006E02A9">
        <w:t xml:space="preserve">did not </w:t>
      </w:r>
      <w:r w:rsidR="006E02A9" w:rsidRPr="000F5336">
        <w:t xml:space="preserve">normally account for economic </w:t>
      </w:r>
      <w:proofErr w:type="gramStart"/>
      <w:r w:rsidR="006E02A9" w:rsidRPr="000F5336">
        <w:t>obsolescence</w:t>
      </w:r>
      <w:proofErr w:type="gramEnd"/>
      <w:r w:rsidR="006E02A9" w:rsidRPr="000F5336">
        <w:t xml:space="preserve"> absent extraordinary circumstances</w:t>
      </w:r>
      <w:r w:rsidR="006E02A9">
        <w:t xml:space="preserve">. </w:t>
      </w:r>
      <w:r w:rsidR="006E02A9" w:rsidRPr="006E02A9">
        <w:rPr>
          <w:i/>
          <w:iCs/>
        </w:rPr>
        <w:t>Id.</w:t>
      </w:r>
      <w:r w:rsidR="006E02A9">
        <w:t xml:space="preserve"> at 213. Moreover, </w:t>
      </w:r>
      <w:r w:rsidR="000F5336">
        <w:t>P</w:t>
      </w:r>
      <w:r w:rsidR="000F5336" w:rsidRPr="000F5336">
        <w:t xml:space="preserve">arish assessors only </w:t>
      </w:r>
      <w:r w:rsidR="000F5336">
        <w:t>value</w:t>
      </w:r>
      <w:r w:rsidR="006E02A9">
        <w:t xml:space="preserve"> the property “situated within their</w:t>
      </w:r>
      <w:r w:rsidR="000F5336">
        <w:t xml:space="preserve"> </w:t>
      </w:r>
      <w:r w:rsidR="006E02A9">
        <w:t>parish</w:t>
      </w:r>
      <w:r w:rsidR="000F5336" w:rsidRPr="000F5336">
        <w:t xml:space="preserve">, and </w:t>
      </w:r>
      <w:r w:rsidR="006E02A9">
        <w:t xml:space="preserve">do </w:t>
      </w:r>
      <w:r w:rsidR="000F5336" w:rsidRPr="000F5336">
        <w:t>not commonly look to the income of the business</w:t>
      </w:r>
      <w:r w:rsidR="006E02A9">
        <w:t>,</w:t>
      </w:r>
      <w:r w:rsidR="000F5336" w:rsidRPr="000F5336">
        <w:t xml:space="preserve"> or any other factor not attributable to their parish.</w:t>
      </w:r>
      <w:r w:rsidR="006E02A9">
        <w:t xml:space="preserve">” </w:t>
      </w:r>
      <w:r w:rsidR="006E02A9" w:rsidRPr="006E02A9">
        <w:rPr>
          <w:i/>
          <w:iCs/>
        </w:rPr>
        <w:t>Id.</w:t>
      </w:r>
      <w:r w:rsidR="006E02A9">
        <w:t xml:space="preserve"> at 214.</w:t>
      </w:r>
      <w:r w:rsidR="000F5336" w:rsidRPr="000F5336">
        <w:t xml:space="preserve"> </w:t>
      </w:r>
    </w:p>
    <w:p w14:paraId="25833F74" w14:textId="5835728D" w:rsidR="00B027E2" w:rsidRDefault="00672FCD" w:rsidP="00FE71F3">
      <w:r>
        <w:t xml:space="preserve">The fundamental difference in the nature of </w:t>
      </w:r>
      <w:r w:rsidR="006E02A9">
        <w:t xml:space="preserve">the </w:t>
      </w:r>
      <w:r>
        <w:t>assess</w:t>
      </w:r>
      <w:r w:rsidR="006E02A9">
        <w:t>ment of</w:t>
      </w:r>
      <w:r>
        <w:t xml:space="preserve"> intrastate pipelines versus</w:t>
      </w:r>
      <w:r w:rsidR="006E02A9">
        <w:t xml:space="preserve"> the assessment of</w:t>
      </w:r>
      <w:r>
        <w:t xml:space="preserve"> interstate pipelines has been repeatedly observed in the jurisprudence. </w:t>
      </w:r>
      <w:r w:rsidR="00B027E2">
        <w:t xml:space="preserve">In </w:t>
      </w:r>
      <w:r w:rsidR="00B027E2" w:rsidRPr="00B027E2">
        <w:rPr>
          <w:i/>
          <w:iCs/>
        </w:rPr>
        <w:t>TBM-WC Sabine, LLC v. Sabine Par</w:t>
      </w:r>
      <w:r w:rsidR="00B027E2">
        <w:rPr>
          <w:i/>
          <w:iCs/>
        </w:rPr>
        <w:t>ish</w:t>
      </w:r>
      <w:r w:rsidR="00B027E2" w:rsidRPr="00B027E2">
        <w:rPr>
          <w:i/>
          <w:iCs/>
        </w:rPr>
        <w:t xml:space="preserve"> B</w:t>
      </w:r>
      <w:r w:rsidR="00B027E2">
        <w:rPr>
          <w:i/>
          <w:iCs/>
        </w:rPr>
        <w:t>oar</w:t>
      </w:r>
      <w:r w:rsidR="00B027E2" w:rsidRPr="00B027E2">
        <w:rPr>
          <w:i/>
          <w:iCs/>
        </w:rPr>
        <w:t>d of Review</w:t>
      </w:r>
      <w:r w:rsidR="00B027E2">
        <w:t>, 2017-1189 (La.</w:t>
      </w:r>
      <w:r w:rsidR="007D6212">
        <w:t xml:space="preserve"> </w:t>
      </w:r>
      <w:r w:rsidR="00B027E2">
        <w:t>App. 3 Cir. 7/18/18), 250 So.3d 1075, the Court stated:</w:t>
      </w:r>
    </w:p>
    <w:p w14:paraId="79B87C51" w14:textId="2DFCF613" w:rsidR="00B027E2" w:rsidRDefault="00B027E2" w:rsidP="005B2CD6">
      <w:pPr>
        <w:pStyle w:val="Quote"/>
        <w:spacing w:line="360" w:lineRule="auto"/>
      </w:pPr>
      <w:r w:rsidRPr="00B027E2">
        <w:t xml:space="preserve">In the valuation of public service or interstate pipelines the appraiser </w:t>
      </w:r>
      <w:r w:rsidR="00DF5B0A">
        <w:t>“</w:t>
      </w:r>
      <w:r w:rsidRPr="00B027E2">
        <w:t>looks to the value of the business itself or the going concern of the company, and not just the hard assets of the company.</w:t>
      </w:r>
      <w:r w:rsidR="00DF5B0A">
        <w:t>”</w:t>
      </w:r>
      <w:r w:rsidRPr="00B027E2">
        <w:t xml:space="preserve"> </w:t>
      </w:r>
      <w:r w:rsidRPr="00B027E2">
        <w:rPr>
          <w:i/>
          <w:iCs/>
        </w:rPr>
        <w:t>Transcon.</w:t>
      </w:r>
      <w:r w:rsidRPr="00B027E2">
        <w:t xml:space="preserve">, 32 So.3d at 212. </w:t>
      </w:r>
      <w:r>
        <w:t xml:space="preserve">In its effort before LTC, and now before this court, TBM attempts to use this method of valuation to assess its intrastate asset in </w:t>
      </w:r>
      <w:r>
        <w:lastRenderedPageBreak/>
        <w:t>Sabine Parish. It is an entirely different exercise to determine the fair market value of the pipe in the ground by a cost less deterioration method in accordance with the legislatively and administratively mandated method of appraisal which Assessor Manasco employed, as opposed to the method provided for intrastate</w:t>
      </w:r>
      <w:r w:rsidR="004A4F37">
        <w:t xml:space="preserve"> [sic]</w:t>
      </w:r>
      <w:r>
        <w:t xml:space="preserve"> pipelines which takes into account the value of the going concern applying all three general accounting methods of appraisal.</w:t>
      </w:r>
      <w:r w:rsidR="00E8406D">
        <w:rPr>
          <w:rStyle w:val="FootnoteReference"/>
        </w:rPr>
        <w:footnoteReference w:id="19"/>
      </w:r>
    </w:p>
    <w:p w14:paraId="0C3449B8" w14:textId="2816372A" w:rsidR="007D6212" w:rsidRDefault="00672FCD" w:rsidP="00FE71F3">
      <w:r>
        <w:t xml:space="preserve">That is not to say that the valuation of intrastate pipelines can never account for economic obsolescence. However, such reductions are historically rare. </w:t>
      </w:r>
      <w:r w:rsidR="007D6212">
        <w:t xml:space="preserve">In </w:t>
      </w:r>
      <w:r w:rsidR="007D6212" w:rsidRPr="007D6212">
        <w:rPr>
          <w:i/>
          <w:iCs/>
        </w:rPr>
        <w:t>Perdido Energy Louisiana, LLC v. Acadia Par</w:t>
      </w:r>
      <w:r w:rsidR="007D6212">
        <w:rPr>
          <w:i/>
          <w:iCs/>
        </w:rPr>
        <w:t>ish</w:t>
      </w:r>
      <w:r w:rsidR="007D6212" w:rsidRPr="007D6212">
        <w:rPr>
          <w:i/>
          <w:iCs/>
        </w:rPr>
        <w:t xml:space="preserve"> B</w:t>
      </w:r>
      <w:r w:rsidR="007D6212">
        <w:rPr>
          <w:i/>
          <w:iCs/>
        </w:rPr>
        <w:t>oar</w:t>
      </w:r>
      <w:r w:rsidR="007D6212" w:rsidRPr="007D6212">
        <w:rPr>
          <w:i/>
          <w:iCs/>
        </w:rPr>
        <w:t>d of Review</w:t>
      </w:r>
      <w:r w:rsidR="007D6212">
        <w:t xml:space="preserve">, 2022-0115 (La. App. 1 Cir. 9/1/22), 349 So.3d 41, </w:t>
      </w:r>
      <w:r w:rsidR="007D6212" w:rsidRPr="007D6212">
        <w:rPr>
          <w:i/>
          <w:iCs/>
        </w:rPr>
        <w:t>writ denied</w:t>
      </w:r>
      <w:r w:rsidR="007D6212">
        <w:t xml:space="preserve">, 2022-01483 (La. 12/20/22), 352 So.3d 81, the </w:t>
      </w:r>
      <w:r w:rsidR="00A04619">
        <w:t>First Circuit</w:t>
      </w:r>
      <w:r w:rsidR="007D6212">
        <w:t xml:space="preserve"> stated:</w:t>
      </w:r>
    </w:p>
    <w:p w14:paraId="24121FC4" w14:textId="15787805" w:rsidR="007D6212" w:rsidRDefault="007D6212" w:rsidP="005B2CD6">
      <w:pPr>
        <w:pStyle w:val="Quote"/>
        <w:spacing w:line="360" w:lineRule="auto"/>
      </w:pPr>
      <w:r>
        <w:t xml:space="preserve">Although La. R.S. 47:2324 requires the assessor to gather all </w:t>
      </w:r>
      <w:proofErr w:type="gramStart"/>
      <w:r>
        <w:t>data necessary</w:t>
      </w:r>
      <w:proofErr w:type="gramEnd"/>
      <w:r>
        <w:t xml:space="preserve"> to properly determine fair market value of property in his jurisdiction, it is the party seeking a fair market value reduction for its pipeline property based on obsolescence who has the burden of producing sufficient data and information to substantiate its claim. </w:t>
      </w:r>
      <w:r w:rsidRPr="007D6212">
        <w:rPr>
          <w:i/>
          <w:iCs/>
        </w:rPr>
        <w:t>Regency Intrastate Gas, LLC</w:t>
      </w:r>
      <w:r>
        <w:t xml:space="preserve">, 21-0271 at p. 7, 329 So.3d at 845. The assessor retains the discretion to determine whether the taxpayer has substantiated the obsolescence. </w:t>
      </w:r>
      <w:r w:rsidRPr="007D6212">
        <w:rPr>
          <w:i/>
          <w:iCs/>
        </w:rPr>
        <w:t>ANR Pipeline Co. v. ANR Pipeline Co.</w:t>
      </w:r>
      <w:r>
        <w:t xml:space="preserve">, 11-379, p. 8 (La. App. 3 Cir. 8/10/11), 73 So.3d 398, 403. Consistent with La. R.S. 47:1957, the assessor may request additional documentation when ascertaining the fair market value of pipeline property. LAC </w:t>
      </w:r>
      <w:proofErr w:type="gramStart"/>
      <w:r>
        <w:t>61:V.</w:t>
      </w:r>
      <w:proofErr w:type="gramEnd"/>
      <w:r>
        <w:t>1301(A)(2).</w:t>
      </w:r>
      <w:r w:rsidR="006E02A9">
        <w:rPr>
          <w:rStyle w:val="FootnoteReference"/>
        </w:rPr>
        <w:footnoteReference w:id="20"/>
      </w:r>
    </w:p>
    <w:p w14:paraId="0816DBD9" w14:textId="31E69F5D" w:rsidR="007D1F17" w:rsidRDefault="007D6212" w:rsidP="00FE71F3">
      <w:r>
        <w:t>The Court</w:t>
      </w:r>
      <w:r w:rsidR="00DF5B0A">
        <w:t>’</w:t>
      </w:r>
      <w:r>
        <w:t>s statement</w:t>
      </w:r>
      <w:r w:rsidR="006E02A9">
        <w:t xml:space="preserve"> in </w:t>
      </w:r>
      <w:r w:rsidR="006E02A9" w:rsidRPr="006E02A9">
        <w:rPr>
          <w:i/>
          <w:iCs/>
        </w:rPr>
        <w:t>Perdido</w:t>
      </w:r>
      <w:r>
        <w:t xml:space="preserve"> reflects how </w:t>
      </w:r>
      <w:r w:rsidR="00A04619">
        <w:t>courts</w:t>
      </w:r>
      <w:r w:rsidR="007D1F17">
        <w:t xml:space="preserve"> </w:t>
      </w:r>
      <w:r>
        <w:t>ha</w:t>
      </w:r>
      <w:r w:rsidR="007D1F17">
        <w:t>ve</w:t>
      </w:r>
      <w:r>
        <w:t xml:space="preserve"> interpreted LAC </w:t>
      </w:r>
      <w:proofErr w:type="gramStart"/>
      <w:r>
        <w:t>61:V.</w:t>
      </w:r>
      <w:proofErr w:type="gramEnd"/>
      <w:r>
        <w:t>1301(A)(2)</w:t>
      </w:r>
      <w:r w:rsidR="00DF5B0A">
        <w:t>’</w:t>
      </w:r>
      <w:r>
        <w:t xml:space="preserve">s mandate that assessors consider evidence of economic obsolescence. </w:t>
      </w:r>
      <w:r w:rsidR="0028771F">
        <w:t xml:space="preserve">As stated by the </w:t>
      </w:r>
      <w:r w:rsidR="00370585">
        <w:t>court</w:t>
      </w:r>
      <w:r w:rsidR="0028771F">
        <w:t xml:space="preserve">, the assessor </w:t>
      </w:r>
      <w:r w:rsidR="00E8406D">
        <w:t>must consider the taxpayer</w:t>
      </w:r>
      <w:r w:rsidR="00DF5B0A">
        <w:t>’</w:t>
      </w:r>
      <w:r w:rsidR="00E8406D">
        <w:t xml:space="preserve">s written evidence of </w:t>
      </w:r>
      <w:proofErr w:type="gramStart"/>
      <w:r w:rsidR="00E8406D">
        <w:t>obsolescence, but</w:t>
      </w:r>
      <w:proofErr w:type="gramEnd"/>
      <w:r w:rsidR="00E8406D">
        <w:t xml:space="preserve"> </w:t>
      </w:r>
      <w:r w:rsidR="0028771F">
        <w:t xml:space="preserve">retains discretion to determine whether </w:t>
      </w:r>
      <w:r w:rsidR="00E8406D">
        <w:t>that evidence is sufficient to warrant a reduction in value</w:t>
      </w:r>
      <w:r w:rsidR="0028771F">
        <w:t>.</w:t>
      </w:r>
      <w:r w:rsidR="007D1F17">
        <w:t xml:space="preserve"> </w:t>
      </w:r>
      <w:r w:rsidR="006E02A9" w:rsidRPr="006E02A9">
        <w:rPr>
          <w:i/>
          <w:iCs/>
        </w:rPr>
        <w:t>See e.g.</w:t>
      </w:r>
      <w:r w:rsidR="006E02A9">
        <w:t xml:space="preserve"> </w:t>
      </w:r>
      <w:r w:rsidR="007D1F17" w:rsidRPr="007D1F17">
        <w:rPr>
          <w:i/>
          <w:iCs/>
        </w:rPr>
        <w:t>Jones v. S. Nat. Gas Co.</w:t>
      </w:r>
      <w:r w:rsidR="007D1F17">
        <w:t xml:space="preserve">, 46,347, p. 15 (La. App. 2 Cir. 4/13/11), 63 So.3d 1080, 1090, </w:t>
      </w:r>
      <w:r w:rsidR="007D1F17" w:rsidRPr="007D1F17">
        <w:rPr>
          <w:i/>
          <w:iCs/>
        </w:rPr>
        <w:t>writ not considered</w:t>
      </w:r>
      <w:r w:rsidR="007D1F17">
        <w:t xml:space="preserve">, 2011-1242 (La. 9/23/11), 70 So.3d 800, and </w:t>
      </w:r>
      <w:r w:rsidR="007D1F17" w:rsidRPr="007D1F17">
        <w:rPr>
          <w:i/>
          <w:iCs/>
        </w:rPr>
        <w:t>writ not considered</w:t>
      </w:r>
      <w:r w:rsidR="007D1F17">
        <w:t>, 2011-1242 (La. 11/4/11), 75 So.3d 911 (</w:t>
      </w:r>
      <w:r w:rsidR="00DF5B0A">
        <w:t>“</w:t>
      </w:r>
      <w:r w:rsidR="007D1F17" w:rsidRPr="007D1F17">
        <w:rPr>
          <w:i/>
          <w:iCs/>
        </w:rPr>
        <w:t>Transcontinental</w:t>
      </w:r>
      <w:r w:rsidR="007D1F17">
        <w:t xml:space="preserve"> plainly reaffirms the notion that parish assessors are not required to reduce for economic obsolescence </w:t>
      </w:r>
      <w:r w:rsidR="00DF5B0A">
        <w:t>‘</w:t>
      </w:r>
      <w:r w:rsidR="007D1F17">
        <w:t>absent an extraordinary showing</w:t>
      </w:r>
      <w:r w:rsidR="00DF5B0A">
        <w:t>’</w:t>
      </w:r>
      <w:r w:rsidR="007D1F17">
        <w:t xml:space="preserve"> and thus their methodology may result in a higher assessment than if the LTC applied its unit approach to the same property.</w:t>
      </w:r>
      <w:r w:rsidR="00DF5B0A">
        <w:t>”</w:t>
      </w:r>
      <w:r w:rsidR="007D1F17">
        <w:t>).</w:t>
      </w:r>
    </w:p>
    <w:p w14:paraId="4C335193" w14:textId="7E7B4F41" w:rsidR="00672FCD" w:rsidRDefault="00F1526F" w:rsidP="00FE71F3">
      <w:r>
        <w:lastRenderedPageBreak/>
        <w:t xml:space="preserve">The </w:t>
      </w:r>
      <w:r w:rsidR="00672FCD">
        <w:t xml:space="preserve">higher tax burden that </w:t>
      </w:r>
      <w:r w:rsidR="00370585">
        <w:t>can result</w:t>
      </w:r>
      <w:r w:rsidR="00672FCD">
        <w:t xml:space="preserve"> from the </w:t>
      </w:r>
      <w:r>
        <w:t xml:space="preserve">assessment methodology for intrastate pipelines is </w:t>
      </w:r>
      <w:r w:rsidR="00672FCD">
        <w:t xml:space="preserve">also </w:t>
      </w:r>
      <w:r>
        <w:t xml:space="preserve">illustrated in </w:t>
      </w:r>
      <w:r w:rsidRPr="005547D8">
        <w:rPr>
          <w:i/>
          <w:iCs/>
        </w:rPr>
        <w:t>Odom v. Southern Natural Gas Co.</w:t>
      </w:r>
      <w:r>
        <w:t xml:space="preserve">, 46,598 (La. App. 2 Cir. 8/17/11), 72 So.3d 437. </w:t>
      </w:r>
      <w:r w:rsidR="006E02A9">
        <w:t xml:space="preserve">The decision in </w:t>
      </w:r>
      <w:r w:rsidRPr="005547D8">
        <w:rPr>
          <w:i/>
          <w:iCs/>
        </w:rPr>
        <w:t>Odom</w:t>
      </w:r>
      <w:r>
        <w:t xml:space="preserve"> followed a decades-long dispute between interstate pipelines, local assessors, and </w:t>
      </w:r>
      <w:proofErr w:type="gramStart"/>
      <w:r>
        <w:t>the LTC</w:t>
      </w:r>
      <w:proofErr w:type="gramEnd"/>
      <w:r>
        <w:t xml:space="preserve">. The interstate pipelines had launched a constitutional challenge to </w:t>
      </w:r>
      <w:proofErr w:type="gramStart"/>
      <w:r>
        <w:t>the LTC</w:t>
      </w:r>
      <w:r w:rsidR="00DF5B0A">
        <w:t>’</w:t>
      </w:r>
      <w:r>
        <w:t>s</w:t>
      </w:r>
      <w:proofErr w:type="gramEnd"/>
      <w:r>
        <w:t xml:space="preserve"> assessment of their properties, arguing that the LTC was allowing similar competing pipelines to be assessed by local assessors at the lower 15% rate. </w:t>
      </w:r>
    </w:p>
    <w:p w14:paraId="5F52B75B" w14:textId="4D3EF47F" w:rsidR="00F1526F" w:rsidRDefault="00F1526F" w:rsidP="00FE71F3">
      <w:r>
        <w:t xml:space="preserve">The </w:t>
      </w:r>
      <w:r w:rsidR="00672FCD">
        <w:t>taxpayers</w:t>
      </w:r>
      <w:r>
        <w:t xml:space="preserve"> were </w:t>
      </w:r>
      <w:r w:rsidR="000E480F">
        <w:t xml:space="preserve">initially </w:t>
      </w:r>
      <w:r>
        <w:t xml:space="preserve">successful. The First Circuit affirmed that the pipelines were being treated unfairly, but instead of refunding the </w:t>
      </w:r>
      <w:r w:rsidR="00945674">
        <w:t>excess tax</w:t>
      </w:r>
      <w:r w:rsidR="006E02A9">
        <w:t xml:space="preserve"> payments</w:t>
      </w:r>
      <w:r w:rsidR="00945674">
        <w:t xml:space="preserve"> </w:t>
      </w:r>
      <w:r>
        <w:t xml:space="preserve">attributable to the 10% </w:t>
      </w:r>
      <w:r w:rsidR="00945674">
        <w:t xml:space="preserve">rate </w:t>
      </w:r>
      <w:r>
        <w:t xml:space="preserve">difference, </w:t>
      </w:r>
      <w:r w:rsidR="006E02A9">
        <w:t xml:space="preserve">the Court </w:t>
      </w:r>
      <w:r>
        <w:t xml:space="preserve">ordered that the properties be entirely re-assessed </w:t>
      </w:r>
      <w:r w:rsidR="00945674">
        <w:t xml:space="preserve">by the parish </w:t>
      </w:r>
      <w:r w:rsidR="00370585">
        <w:t>assessors using</w:t>
      </w:r>
      <w:r>
        <w:t xml:space="preserve"> the methodology for intrastate pipelines. </w:t>
      </w:r>
      <w:r w:rsidR="00945674">
        <w:t>In the process of re-assessment, t</w:t>
      </w:r>
      <w:r>
        <w:t xml:space="preserve">he local assessors </w:t>
      </w:r>
      <w:r w:rsidR="00DF5B0A">
        <w:t>“</w:t>
      </w:r>
      <w:r w:rsidRPr="00F1526F">
        <w:t>denied the claims for obsolescence and assessed the property at the values stated by the taxpayers on the return forms.</w:t>
      </w:r>
      <w:r w:rsidR="001A7C97">
        <w:t>”</w:t>
      </w:r>
      <w:r w:rsidRPr="00F1526F">
        <w:t xml:space="preserve"> </w:t>
      </w:r>
      <w:r w:rsidR="001A7C97" w:rsidRPr="000E480F">
        <w:rPr>
          <w:i/>
          <w:iCs/>
        </w:rPr>
        <w:t>Id.</w:t>
      </w:r>
      <w:r w:rsidR="001A7C97">
        <w:t xml:space="preserve"> at</w:t>
      </w:r>
      <w:r w:rsidR="001A7C97" w:rsidRPr="000E480F">
        <w:t xml:space="preserve"> 440</w:t>
      </w:r>
      <w:r w:rsidR="001A7C97">
        <w:t>. “</w:t>
      </w:r>
      <w:r w:rsidRPr="00F1526F">
        <w:t>The resulting reassessed valuations were approximately two times higher than the LTC</w:t>
      </w:r>
      <w:r w:rsidR="00DF5B0A">
        <w:t>’</w:t>
      </w:r>
      <w:r w:rsidRPr="00F1526F">
        <w:t>s original valuations, negating the taxpayers</w:t>
      </w:r>
      <w:r w:rsidR="00DF5B0A">
        <w:t>’</w:t>
      </w:r>
      <w:r w:rsidRPr="00F1526F">
        <w:t xml:space="preserve"> claims for refunds.</w:t>
      </w:r>
      <w:r w:rsidR="00DF5B0A">
        <w:t>”</w:t>
      </w:r>
      <w:r>
        <w:t xml:space="preserve"> </w:t>
      </w:r>
      <w:r w:rsidR="00672FCD" w:rsidRPr="000E480F">
        <w:rPr>
          <w:i/>
          <w:iCs/>
        </w:rPr>
        <w:t>Id.</w:t>
      </w:r>
      <w:r w:rsidR="00672FCD">
        <w:t xml:space="preserve"> </w:t>
      </w:r>
      <w:r>
        <w:t xml:space="preserve">The </w:t>
      </w:r>
      <w:r w:rsidR="000E480F">
        <w:t>taxpayers</w:t>
      </w:r>
      <w:r>
        <w:t xml:space="preserve"> appealed</w:t>
      </w:r>
      <w:r w:rsidR="000E480F">
        <w:t xml:space="preserve">, this </w:t>
      </w:r>
      <w:proofErr w:type="gramStart"/>
      <w:r w:rsidR="000E480F">
        <w:t>time</w:t>
      </w:r>
      <w:proofErr w:type="gramEnd"/>
      <w:r w:rsidR="000E480F">
        <w:t xml:space="preserve"> to t</w:t>
      </w:r>
      <w:r w:rsidR="00945674">
        <w:t xml:space="preserve">he </w:t>
      </w:r>
      <w:r>
        <w:t xml:space="preserve">Second Circuit, </w:t>
      </w:r>
      <w:r w:rsidR="00370585">
        <w:t>the proper venue</w:t>
      </w:r>
      <w:r>
        <w:t xml:space="preserve"> based on the location of the local assessors</w:t>
      </w:r>
      <w:r w:rsidR="000E480F">
        <w:t xml:space="preserve">. The </w:t>
      </w:r>
      <w:r w:rsidR="001A7C97">
        <w:t>Second Circuit</w:t>
      </w:r>
      <w:r>
        <w:t xml:space="preserve"> affirmed the </w:t>
      </w:r>
      <w:r w:rsidR="001A7C97">
        <w:t xml:space="preserve">more onerous </w:t>
      </w:r>
      <w:proofErr w:type="gramStart"/>
      <w:r>
        <w:t>re-assessments</w:t>
      </w:r>
      <w:proofErr w:type="gramEnd"/>
      <w:r w:rsidR="00370585">
        <w:t xml:space="preserve">, relying </w:t>
      </w:r>
      <w:r>
        <w:t xml:space="preserve">on its prior holding in </w:t>
      </w:r>
      <w:r w:rsidRPr="00F1526F">
        <w:rPr>
          <w:i/>
          <w:iCs/>
        </w:rPr>
        <w:t>Jones</w:t>
      </w:r>
      <w:r w:rsidR="000E480F">
        <w:t>,</w:t>
      </w:r>
      <w:r w:rsidR="00945674">
        <w:t xml:space="preserve"> that local assessors were not required to reduce valuations based on economic </w:t>
      </w:r>
      <w:proofErr w:type="gramStart"/>
      <w:r w:rsidR="00945674">
        <w:t>obsolescence</w:t>
      </w:r>
      <w:proofErr w:type="gramEnd"/>
      <w:r w:rsidR="00945674">
        <w:t xml:space="preserve"> absent an extraordinary showing.</w:t>
      </w:r>
      <w:r>
        <w:t xml:space="preserve"> </w:t>
      </w:r>
    </w:p>
    <w:p w14:paraId="713B104F" w14:textId="6752D191" w:rsidR="005B67A0" w:rsidRDefault="000656D2" w:rsidP="00FE71F3">
      <w:r>
        <w:t xml:space="preserve">For a time, the LTC provided a specific mechanism for intrastate pipelines to obtain reductions for economic obsolescence. </w:t>
      </w:r>
      <w:r w:rsidR="00393B58">
        <w:t>From February 1999 to March 2009, the LTC</w:t>
      </w:r>
      <w:r w:rsidR="00DF5B0A">
        <w:t>’</w:t>
      </w:r>
      <w:r w:rsidR="00393B58">
        <w:t>s regulations permitted</w:t>
      </w:r>
      <w:r>
        <w:t>, but did not require,</w:t>
      </w:r>
      <w:r w:rsidR="00393B58">
        <w:t xml:space="preserve"> assessors to </w:t>
      </w:r>
      <w:r w:rsidR="00F64249">
        <w:t>apply a r</w:t>
      </w:r>
      <w:r w:rsidR="00393B58">
        <w:t>educt</w:t>
      </w:r>
      <w:r w:rsidR="00F64249">
        <w:t>ion for</w:t>
      </w:r>
      <w:r w:rsidR="00393B58">
        <w:t xml:space="preserve"> economic obsolescence </w:t>
      </w:r>
      <w:r>
        <w:t xml:space="preserve">based on </w:t>
      </w:r>
      <w:r w:rsidR="00393B58">
        <w:t>underutilization of pipeline capacity</w:t>
      </w:r>
      <w:r>
        <w:t xml:space="preserve">. </w:t>
      </w:r>
      <w:r w:rsidR="00F64249">
        <w:t xml:space="preserve">LAC </w:t>
      </w:r>
      <w:proofErr w:type="gramStart"/>
      <w:r w:rsidR="00F64249">
        <w:t>61:</w:t>
      </w:r>
      <w:r w:rsidR="00F64249" w:rsidRPr="007C56E3">
        <w:t>V</w:t>
      </w:r>
      <w:r w:rsidR="00F64249">
        <w:t>.</w:t>
      </w:r>
      <w:proofErr w:type="gramEnd"/>
      <w:r w:rsidR="00F64249" w:rsidRPr="007C56E3">
        <w:t>1301</w:t>
      </w:r>
      <w:r w:rsidR="00F64249">
        <w:t>(</w:t>
      </w:r>
      <w:r w:rsidR="00F64249" w:rsidRPr="007C56E3">
        <w:t>A</w:t>
      </w:r>
      <w:r w:rsidR="00F64249">
        <w:t>)</w:t>
      </w:r>
      <w:r w:rsidR="00F64249" w:rsidRPr="007C56E3">
        <w:t xml:space="preserve">(2), 1305 </w:t>
      </w:r>
      <w:r w:rsidR="00F64249">
        <w:t>(</w:t>
      </w:r>
      <w:r w:rsidR="00F64249" w:rsidRPr="007C56E3">
        <w:t>F</w:t>
      </w:r>
      <w:r w:rsidR="00F64249">
        <w:t>)</w:t>
      </w:r>
      <w:r w:rsidR="00F64249" w:rsidRPr="007C56E3">
        <w:t xml:space="preserve">, </w:t>
      </w:r>
      <w:r w:rsidR="00F64249">
        <w:t>(</w:t>
      </w:r>
      <w:r w:rsidR="00F64249" w:rsidRPr="007C56E3">
        <w:t>G</w:t>
      </w:r>
      <w:r w:rsidR="00F64249">
        <w:t>)</w:t>
      </w:r>
      <w:r w:rsidR="00F64249" w:rsidRPr="007C56E3">
        <w:t xml:space="preserve">, as amended by </w:t>
      </w:r>
      <w:r w:rsidR="00F64249">
        <w:t xml:space="preserve">La. Reg. </w:t>
      </w:r>
      <w:r w:rsidR="00F64249" w:rsidRPr="007C56E3">
        <w:t xml:space="preserve">25:316 (February 1999) and </w:t>
      </w:r>
      <w:r w:rsidR="00F64249">
        <w:t xml:space="preserve">La. Reg. </w:t>
      </w:r>
      <w:r w:rsidR="00F64249" w:rsidRPr="007C56E3">
        <w:t>35:498 (March 2009).</w:t>
      </w:r>
      <w:r w:rsidR="00F64249">
        <w:t xml:space="preserve"> </w:t>
      </w:r>
      <w:r w:rsidR="001A7C97">
        <w:t xml:space="preserve">Taxpayers were required to </w:t>
      </w:r>
      <w:r>
        <w:t>substantiate</w:t>
      </w:r>
      <w:r w:rsidR="001A7C97">
        <w:t xml:space="preserve"> their claims and to</w:t>
      </w:r>
      <w:r w:rsidR="00393B58">
        <w:t xml:space="preserve"> calculate</w:t>
      </w:r>
      <w:r w:rsidR="001A7C97">
        <w:t xml:space="preserve"> obsolescence using</w:t>
      </w:r>
      <w:r w:rsidR="00393B58">
        <w:t xml:space="preserve"> </w:t>
      </w:r>
      <w:r>
        <w:t xml:space="preserve">a </w:t>
      </w:r>
      <w:r w:rsidR="00DF5B0A">
        <w:t>“</w:t>
      </w:r>
      <w:r w:rsidR="00393B58">
        <w:t>service factor</w:t>
      </w:r>
      <w:r w:rsidR="00DF5B0A">
        <w:t>”</w:t>
      </w:r>
      <w:r>
        <w:t xml:space="preserve"> formula promulgated by the LTC.</w:t>
      </w:r>
      <w:r w:rsidR="00393B58">
        <w:rPr>
          <w:rStyle w:val="FootnoteReference"/>
        </w:rPr>
        <w:footnoteReference w:id="21"/>
      </w:r>
      <w:r w:rsidR="00393B58" w:rsidRPr="007C56E3">
        <w:t xml:space="preserve"> </w:t>
      </w:r>
    </w:p>
    <w:p w14:paraId="023B7495" w14:textId="61A376E6" w:rsidR="00F64249" w:rsidRDefault="00F64249" w:rsidP="00FE71F3">
      <w:r>
        <w:lastRenderedPageBreak/>
        <w:t xml:space="preserve">Application of the service factor formula </w:t>
      </w:r>
      <w:r w:rsidR="00393B58">
        <w:t xml:space="preserve">was discussed in </w:t>
      </w:r>
      <w:r w:rsidR="00393B58" w:rsidRPr="00531874">
        <w:rPr>
          <w:i/>
          <w:iCs/>
        </w:rPr>
        <w:t xml:space="preserve">Bailey v. </w:t>
      </w:r>
      <w:proofErr w:type="spellStart"/>
      <w:r w:rsidR="00393B58" w:rsidRPr="00531874">
        <w:rPr>
          <w:i/>
          <w:iCs/>
        </w:rPr>
        <w:t>Enervest</w:t>
      </w:r>
      <w:proofErr w:type="spellEnd"/>
      <w:r w:rsidR="00393B58" w:rsidRPr="00531874">
        <w:rPr>
          <w:i/>
          <w:iCs/>
        </w:rPr>
        <w:t xml:space="preserve"> Operating Co.</w:t>
      </w:r>
      <w:r w:rsidR="00393B58">
        <w:t xml:space="preserve">, LLC, 45,553 (La. App. 2 Cir. 6/30/10), 43 So.3d 1046. In </w:t>
      </w:r>
      <w:r w:rsidR="00393B58" w:rsidRPr="005B67A0">
        <w:rPr>
          <w:i/>
          <w:iCs/>
        </w:rPr>
        <w:t>Bailey</w:t>
      </w:r>
      <w:r w:rsidR="00393B58">
        <w:t xml:space="preserve">, the Second Circuit held that the Ouachita Parish </w:t>
      </w:r>
      <w:r w:rsidR="00EF4E2B">
        <w:t xml:space="preserve">assessor </w:t>
      </w:r>
      <w:r w:rsidR="00393B58">
        <w:t xml:space="preserve">failed to consider a </w:t>
      </w:r>
      <w:r w:rsidR="00393B58" w:rsidRPr="00531874">
        <w:t xml:space="preserve">pipeline utility study by </w:t>
      </w:r>
      <w:r w:rsidR="00393B58">
        <w:t xml:space="preserve">an engineering firm </w:t>
      </w:r>
      <w:r w:rsidR="00393B58" w:rsidRPr="00531874">
        <w:t>showing the actual diameter of the pipeline segments and the diameter that would be required to transport the production volumes generated from the gas field</w:t>
      </w:r>
      <w:r w:rsidR="00393B58">
        <w:t xml:space="preserve"> and data </w:t>
      </w:r>
      <w:r w:rsidR="00393B58" w:rsidRPr="00531874">
        <w:t xml:space="preserve">showing the total gas production levels in the </w:t>
      </w:r>
      <w:r w:rsidR="00393B58">
        <w:t>f</w:t>
      </w:r>
      <w:r w:rsidR="00393B58" w:rsidRPr="00531874">
        <w:t>ield</w:t>
      </w:r>
      <w:r w:rsidR="00393B58">
        <w:t xml:space="preserve">. The </w:t>
      </w:r>
      <w:r w:rsidR="00D636E3">
        <w:t xml:space="preserve">assessor </w:t>
      </w:r>
      <w:r w:rsidR="00393B58">
        <w:t>argued that this data was insufficient without supporting financial information, specifically</w:t>
      </w:r>
      <w:r w:rsidR="00D636E3">
        <w:t xml:space="preserve"> asserting that</w:t>
      </w:r>
      <w:r w:rsidR="00393B58">
        <w:t xml:space="preserve">, </w:t>
      </w:r>
      <w:r w:rsidR="00DF5B0A">
        <w:t>“</w:t>
      </w:r>
      <w:r w:rsidR="00393B58">
        <w:t>b</w:t>
      </w:r>
      <w:r w:rsidR="00393B58" w:rsidRPr="00531874">
        <w:t>alance sheets showing revenue and expenses associated with the pipelines would have been needed to substantiate the claimed obsolescence.</w:t>
      </w:r>
      <w:r w:rsidR="00DF5B0A">
        <w:t>”</w:t>
      </w:r>
      <w:r w:rsidR="00393B58">
        <w:t xml:space="preserve"> </w:t>
      </w:r>
      <w:r w:rsidR="00393B58" w:rsidRPr="00531874">
        <w:rPr>
          <w:i/>
          <w:iCs/>
        </w:rPr>
        <w:t>Id.</w:t>
      </w:r>
      <w:r w:rsidR="00393B58">
        <w:t xml:space="preserve"> at 1049. The </w:t>
      </w:r>
      <w:r w:rsidR="00370585">
        <w:t>court</w:t>
      </w:r>
      <w:r w:rsidR="00393B58">
        <w:t xml:space="preserve"> found that the LTC</w:t>
      </w:r>
      <w:r w:rsidR="00DF5B0A">
        <w:t>’</w:t>
      </w:r>
      <w:r w:rsidR="00393B58">
        <w:t xml:space="preserve">s guidelines did not </w:t>
      </w:r>
      <w:r>
        <w:t xml:space="preserve">require </w:t>
      </w:r>
      <w:r w:rsidR="00393B58">
        <w:t>supporting financial documentation.</w:t>
      </w:r>
    </w:p>
    <w:p w14:paraId="486E76BD" w14:textId="336B82F2" w:rsidR="005B67A0" w:rsidRDefault="00F64249" w:rsidP="00FE71F3">
      <w:r>
        <w:t>A</w:t>
      </w:r>
      <w:r w:rsidR="005B67A0">
        <w:t xml:space="preserve">s stated above, the service factor and the regulation which provided for it were rescinded by </w:t>
      </w:r>
      <w:proofErr w:type="gramStart"/>
      <w:r w:rsidR="005B67A0">
        <w:t>the LTC</w:t>
      </w:r>
      <w:proofErr w:type="gramEnd"/>
      <w:r w:rsidR="005B67A0">
        <w:t xml:space="preserve"> in 2009. </w:t>
      </w:r>
      <w:r w:rsidRPr="00F64249">
        <w:rPr>
          <w:i/>
          <w:iCs/>
        </w:rPr>
        <w:t>Bailey</w:t>
      </w:r>
      <w:r>
        <w:t xml:space="preserve"> further demonstrates that e</w:t>
      </w:r>
      <w:r w:rsidR="005B67A0">
        <w:t xml:space="preserve">ven when the service factor </w:t>
      </w:r>
      <w:r w:rsidR="001A7C97">
        <w:t>was in force</w:t>
      </w:r>
      <w:r w:rsidR="005B67A0">
        <w:t xml:space="preserve">, </w:t>
      </w:r>
      <w:r>
        <w:t xml:space="preserve">assessors were not permitted to consider overall company financial data. </w:t>
      </w:r>
      <w:r w:rsidR="001A7C97">
        <w:t xml:space="preserve">The need for data attributable to the specific parish of the assessor </w:t>
      </w:r>
      <w:r>
        <w:t xml:space="preserve">is also shown in </w:t>
      </w:r>
      <w:r w:rsidRPr="00F64249">
        <w:rPr>
          <w:i/>
          <w:iCs/>
        </w:rPr>
        <w:t>Jones</w:t>
      </w:r>
      <w:r w:rsidR="001A7C97">
        <w:t xml:space="preserve">, where the Court, </w:t>
      </w:r>
      <w:r w:rsidR="00393B58">
        <w:t>rejecting a claim for economic obsolescence based on the service factor</w:t>
      </w:r>
      <w:r w:rsidR="001A7C97">
        <w:t>,</w:t>
      </w:r>
      <w:r w:rsidR="00393B58">
        <w:t xml:space="preserve"> noted</w:t>
      </w:r>
      <w:r w:rsidR="001A7C97">
        <w:t xml:space="preserve"> that the</w:t>
      </w:r>
      <w:r w:rsidR="00393B58">
        <w:t xml:space="preserve"> </w:t>
      </w:r>
      <w:r w:rsidR="00DF5B0A">
        <w:t>“</w:t>
      </w:r>
      <w:r w:rsidR="00393B58">
        <w:t>[t]</w:t>
      </w:r>
      <w:proofErr w:type="spellStart"/>
      <w:r w:rsidR="00393B58">
        <w:t>estimony</w:t>
      </w:r>
      <w:proofErr w:type="spellEnd"/>
      <w:r w:rsidR="00393B58">
        <w:t xml:space="preserve"> before the LTC revealed that the percentages were not specific to the individual parishes but based on a systemwide average.</w:t>
      </w:r>
      <w:r w:rsidR="00DF5B0A">
        <w:t>”</w:t>
      </w:r>
      <w:r w:rsidR="00393B58">
        <w:t xml:space="preserve"> </w:t>
      </w:r>
      <w:r w:rsidR="00393B58" w:rsidRPr="000B337A">
        <w:rPr>
          <w:i/>
          <w:iCs/>
        </w:rPr>
        <w:t>Jones</w:t>
      </w:r>
      <w:r w:rsidR="00393B58" w:rsidRPr="000B337A">
        <w:t>,</w:t>
      </w:r>
      <w:r w:rsidR="00393B58">
        <w:t xml:space="preserve"> 46,347, p. 15, 63 So.3d at 1090. </w:t>
      </w:r>
      <w:r w:rsidR="00370585">
        <w:t>Additionally,</w:t>
      </w:r>
      <w:r>
        <w:t xml:space="preserve"> </w:t>
      </w:r>
      <w:r w:rsidR="00393B58">
        <w:t xml:space="preserve">in </w:t>
      </w:r>
      <w:r w:rsidR="00393B58" w:rsidRPr="004A4F37">
        <w:rPr>
          <w:i/>
          <w:iCs/>
        </w:rPr>
        <w:t>TBM-WC Sabine</w:t>
      </w:r>
      <w:r w:rsidR="00393B58">
        <w:t xml:space="preserve">, </w:t>
      </w:r>
      <w:r>
        <w:t>the</w:t>
      </w:r>
      <w:r w:rsidR="00393B58">
        <w:t xml:space="preserve"> Third Circuit found that the taxpayer</w:t>
      </w:r>
      <w:r w:rsidR="00DF5B0A">
        <w:t>’</w:t>
      </w:r>
      <w:r w:rsidR="00393B58">
        <w:t xml:space="preserve">s argument </w:t>
      </w:r>
      <w:r w:rsidR="001A7C97">
        <w:t>ignored the “</w:t>
      </w:r>
      <w:r w:rsidR="00393B58">
        <w:t>fundamental basis for valuing intrastate pipeline, such as this one located solely within Sabine Parish, from the basis used to value interstate or public service pipelines for which a different method of valuation is used for ad valorem tax appraisals.</w:t>
      </w:r>
      <w:r w:rsidR="00DF5B0A">
        <w:t>”</w:t>
      </w:r>
      <w:r w:rsidR="00393B58" w:rsidRPr="004A4F37">
        <w:rPr>
          <w:i/>
          <w:iCs/>
        </w:rPr>
        <w:t xml:space="preserve"> TBM-WC Sabine</w:t>
      </w:r>
      <w:r w:rsidR="00393B58">
        <w:t>,</w:t>
      </w:r>
      <w:r w:rsidR="00393B58" w:rsidRPr="004A4F37">
        <w:t xml:space="preserve"> </w:t>
      </w:r>
      <w:r w:rsidR="00393B58">
        <w:t xml:space="preserve">250 So.3d at 1080. Likewise, in </w:t>
      </w:r>
      <w:r w:rsidR="00393B58" w:rsidRPr="009564BA">
        <w:rPr>
          <w:i/>
          <w:iCs/>
        </w:rPr>
        <w:t>ANR Pipeline Co.</w:t>
      </w:r>
      <w:r w:rsidR="00393B58">
        <w:t xml:space="preserve">, the Third Circuit </w:t>
      </w:r>
      <w:r>
        <w:t xml:space="preserve">observed </w:t>
      </w:r>
      <w:r w:rsidR="00393B58">
        <w:t>that the taxpayer</w:t>
      </w:r>
      <w:r w:rsidR="00DF5B0A">
        <w:t>’</w:t>
      </w:r>
      <w:r w:rsidR="00393B58">
        <w:t xml:space="preserve">s </w:t>
      </w:r>
      <w:r w:rsidR="00DF5B0A">
        <w:t>“</w:t>
      </w:r>
      <w:r w:rsidR="00393B58">
        <w:t>figures were never particularized to Cameron Parish. This is critical.</w:t>
      </w:r>
      <w:r w:rsidR="00DF5B0A">
        <w:t>”</w:t>
      </w:r>
      <w:r w:rsidR="00393B58">
        <w:t xml:space="preserve"> </w:t>
      </w:r>
      <w:r w:rsidR="00393B58" w:rsidRPr="009564BA">
        <w:rPr>
          <w:i/>
          <w:iCs/>
        </w:rPr>
        <w:t>ANR Pipeline Co.</w:t>
      </w:r>
      <w:r w:rsidR="00393B58">
        <w:t xml:space="preserve">, 2011-379, p. 8, 73 So.3d at 403. </w:t>
      </w:r>
    </w:p>
    <w:p w14:paraId="51E110BD" w14:textId="64C1F09A" w:rsidR="0090544B" w:rsidRDefault="00393B58" w:rsidP="00FE71F3">
      <w:r>
        <w:lastRenderedPageBreak/>
        <w:t xml:space="preserve">The Board similarly finds it critically important that RIG </w:t>
      </w:r>
      <w:r w:rsidR="00F64249">
        <w:t xml:space="preserve">particularize </w:t>
      </w:r>
      <w:r>
        <w:t xml:space="preserve">its claims for obsolescence </w:t>
      </w:r>
      <w:r w:rsidR="00F64249">
        <w:t>to each parish.</w:t>
      </w:r>
      <w:r w:rsidR="005B67A0">
        <w:t xml:space="preserve"> </w:t>
      </w:r>
      <w:r w:rsidR="00945674">
        <w:t xml:space="preserve">This is necessary given </w:t>
      </w:r>
      <w:r w:rsidR="00D636E3">
        <w:t xml:space="preserve">that </w:t>
      </w:r>
      <w:r w:rsidR="00945674">
        <w:t xml:space="preserve">the </w:t>
      </w:r>
      <w:r w:rsidR="00F64249">
        <w:t xml:space="preserve">fundamental nature of what </w:t>
      </w:r>
      <w:r w:rsidR="00D636E3">
        <w:t xml:space="preserve">a </w:t>
      </w:r>
      <w:r w:rsidR="00F64249">
        <w:t>parish assessor must assess</w:t>
      </w:r>
      <w:r w:rsidR="00370585">
        <w:t xml:space="preserve"> in this context</w:t>
      </w:r>
      <w:r w:rsidR="00F64249">
        <w:t xml:space="preserve">, as defined by Louisiana’s </w:t>
      </w:r>
      <w:r w:rsidR="005B67A0">
        <w:t>constitution</w:t>
      </w:r>
      <w:r w:rsidR="00F64249">
        <w:t xml:space="preserve"> and recognized by our </w:t>
      </w:r>
      <w:r w:rsidR="00370585">
        <w:t>court</w:t>
      </w:r>
      <w:r w:rsidR="00D636E3">
        <w:t>s,</w:t>
      </w:r>
      <w:r w:rsidR="00370585">
        <w:t xml:space="preserve"> is the property in that </w:t>
      </w:r>
      <w:r w:rsidR="00D636E3">
        <w:t xml:space="preserve">assessor’s </w:t>
      </w:r>
      <w:r w:rsidR="00370585">
        <w:t>parish</w:t>
      </w:r>
      <w:r w:rsidR="00F64249">
        <w:t>. Here, however,</w:t>
      </w:r>
      <w:r w:rsidR="005B67A0">
        <w:t xml:space="preserve"> </w:t>
      </w:r>
      <w:r w:rsidR="00F1526F">
        <w:t xml:space="preserve">RIG </w:t>
      </w:r>
      <w:r w:rsidR="00F64249">
        <w:t xml:space="preserve">did not attempt to allocate the </w:t>
      </w:r>
      <w:r w:rsidR="00945674">
        <w:t xml:space="preserve">requested reduction to the physical property located </w:t>
      </w:r>
      <w:r w:rsidR="001A7C97">
        <w:t>with</w:t>
      </w:r>
      <w:r w:rsidR="00945674">
        <w:t xml:space="preserve">in </w:t>
      </w:r>
      <w:r w:rsidR="00F64249">
        <w:t xml:space="preserve">any </w:t>
      </w:r>
      <w:proofErr w:type="gramStart"/>
      <w:r w:rsidR="00F64249">
        <w:t xml:space="preserve">particular </w:t>
      </w:r>
      <w:r w:rsidR="00945674">
        <w:t>parish</w:t>
      </w:r>
      <w:proofErr w:type="gramEnd"/>
      <w:r w:rsidR="00945674">
        <w:t>.</w:t>
      </w:r>
      <w:r w:rsidR="00F1526F" w:rsidRPr="00F1526F">
        <w:t xml:space="preserve"> </w:t>
      </w:r>
      <w:r w:rsidR="00F64249">
        <w:t xml:space="preserve">The LTC erred in allowing RIG to rely on company-wide business enterprise valuation. </w:t>
      </w:r>
    </w:p>
    <w:p w14:paraId="13E35846" w14:textId="6465B419" w:rsidR="00F75806" w:rsidRDefault="0090544B" w:rsidP="00FE71F3">
      <w:r>
        <w:t xml:space="preserve">RIG’s market approach </w:t>
      </w:r>
      <w:r w:rsidR="00370585">
        <w:t>also fails to</w:t>
      </w:r>
      <w:r>
        <w:t xml:space="preserve"> resolve th</w:t>
      </w:r>
      <w:r w:rsidR="00370585">
        <w:t>is</w:t>
      </w:r>
      <w:r>
        <w:t xml:space="preserve"> problem. </w:t>
      </w:r>
      <w:r w:rsidR="00C63546">
        <w:t>For 2020 and subsequent years, the LTC found</w:t>
      </w:r>
      <w:r>
        <w:t xml:space="preserve"> that, supported by </w:t>
      </w:r>
      <w:r w:rsidR="00C63546">
        <w:t xml:space="preserve">the testimony of Martin Anthony, the Alinda Sale </w:t>
      </w:r>
      <w:r>
        <w:t xml:space="preserve">documents </w:t>
      </w:r>
      <w:r w:rsidR="00C63546">
        <w:t xml:space="preserve">indicated a business enterprise value of four hundred and sixty million dollars ($460,000,000) to four hundred and eighty </w:t>
      </w:r>
      <w:r w:rsidR="00370585">
        <w:t xml:space="preserve">million </w:t>
      </w:r>
      <w:r w:rsidR="00C63546">
        <w:t>dollars ($480,000,000). The LTC also noted that Ms. Cartwright</w:t>
      </w:r>
      <w:r w:rsidR="00DF5B0A">
        <w:t>’</w:t>
      </w:r>
      <w:r w:rsidR="00C63546">
        <w:t xml:space="preserve">s </w:t>
      </w:r>
      <w:r w:rsidR="00D82CA6">
        <w:t xml:space="preserve">guideline company market approach determined a value of four hundred and two million dollars ($402,000,000) to four hundred and </w:t>
      </w:r>
      <w:r w:rsidR="001A7C97">
        <w:t>thirty-one</w:t>
      </w:r>
      <w:r w:rsidR="00D82CA6">
        <w:t xml:space="preserve"> million dollars ($431,000,000). </w:t>
      </w:r>
      <w:r>
        <w:t>However, there is nothing in the Alinda Sale documents or the testimony that allocates value on a parish-by-parish basis.</w:t>
      </w:r>
      <w:r w:rsidR="00D82CA6">
        <w:t xml:space="preserve"> Indeed, no such allocation under the market approach </w:t>
      </w:r>
      <w:r w:rsidR="00370585">
        <w:t xml:space="preserve">is obvious </w:t>
      </w:r>
      <w:r w:rsidR="00D82CA6">
        <w:t xml:space="preserve">based on </w:t>
      </w:r>
      <w:r w:rsidR="001A7C97">
        <w:t>any of the other</w:t>
      </w:r>
      <w:r w:rsidR="00D82CA6">
        <w:t xml:space="preserve"> evidence in the record.</w:t>
      </w:r>
    </w:p>
    <w:p w14:paraId="554370F2" w14:textId="2C534253" w:rsidR="004C7D19" w:rsidRDefault="0090544B" w:rsidP="00FE71F3">
      <w:r>
        <w:t>Conceivably</w:t>
      </w:r>
      <w:r w:rsidR="00D82CA6">
        <w:t xml:space="preserve">, </w:t>
      </w:r>
      <w:r>
        <w:t xml:space="preserve">Ms. Cartwright’s cost approach valuation for 2020 based on the fixed asset ledger could have identified specific items of property and their location. </w:t>
      </w:r>
      <w:r w:rsidR="001A7C97">
        <w:t xml:space="preserve">Then </w:t>
      </w:r>
      <w:r w:rsidR="00D82CA6">
        <w:t xml:space="preserve">RIG could have </w:t>
      </w:r>
      <w:r w:rsidR="001A7C97">
        <w:t xml:space="preserve">presented </w:t>
      </w:r>
      <w:r w:rsidR="00D82CA6">
        <w:t>a</w:t>
      </w:r>
      <w:r w:rsidR="001A7C97">
        <w:t>n allocated</w:t>
      </w:r>
      <w:r w:rsidR="00D82CA6">
        <w:t xml:space="preserve"> cost approach valuation. As stated above, however, </w:t>
      </w:r>
      <w:r w:rsidR="001A7C97">
        <w:t>RIG did not do this, nor was the fixed asset</w:t>
      </w:r>
      <w:r w:rsidR="00D82CA6">
        <w:t xml:space="preserve"> ledger </w:t>
      </w:r>
      <w:r w:rsidR="001A7C97">
        <w:t>entered into evidence</w:t>
      </w:r>
      <w:r w:rsidR="00D82CA6">
        <w:t>.</w:t>
      </w:r>
    </w:p>
    <w:p w14:paraId="004FEB5C" w14:textId="78D3868D" w:rsidR="00A43290" w:rsidRPr="00A43290" w:rsidRDefault="00A43290" w:rsidP="00352B5A">
      <w:pPr>
        <w:pStyle w:val="Heading3"/>
      </w:pPr>
      <w:r w:rsidRPr="00A43290">
        <w:t>Conclusion</w:t>
      </w:r>
    </w:p>
    <w:p w14:paraId="371B8F02" w14:textId="608DD776" w:rsidR="001A7C97" w:rsidRDefault="00A43290" w:rsidP="00FE71F3">
      <w:r>
        <w:t xml:space="preserve">In sum, RIG </w:t>
      </w:r>
      <w:r w:rsidR="005B67A0">
        <w:t xml:space="preserve">has not demonstrated the existence of an extraordinary circumstance necessary for the reduction in value that they seek. At a minimum, any such reduction would need to be </w:t>
      </w:r>
      <w:r w:rsidR="00E86FB8">
        <w:t xml:space="preserve">allocated </w:t>
      </w:r>
      <w:r w:rsidR="005B67A0">
        <w:t xml:space="preserve">to </w:t>
      </w:r>
      <w:r w:rsidR="00E86FB8">
        <w:t xml:space="preserve">the </w:t>
      </w:r>
      <w:r w:rsidR="001A7C97">
        <w:t>portions of the P</w:t>
      </w:r>
      <w:r w:rsidR="005B67A0">
        <w:t xml:space="preserve">roperty </w:t>
      </w:r>
      <w:r w:rsidR="001A7C97">
        <w:t xml:space="preserve">physically </w:t>
      </w:r>
      <w:r w:rsidR="00E86FB8">
        <w:t xml:space="preserve">located </w:t>
      </w:r>
      <w:r w:rsidR="005B67A0">
        <w:t xml:space="preserve">within </w:t>
      </w:r>
      <w:r w:rsidR="00E86FB8">
        <w:t xml:space="preserve">each </w:t>
      </w:r>
      <w:r w:rsidR="005B67A0">
        <w:t xml:space="preserve">respective </w:t>
      </w:r>
      <w:r w:rsidR="004D4DEA">
        <w:t>p</w:t>
      </w:r>
      <w:r w:rsidR="005B67A0">
        <w:t>arish.</w:t>
      </w:r>
      <w:r w:rsidR="00E86FB8">
        <w:t xml:space="preserve"> </w:t>
      </w:r>
      <w:r w:rsidR="001A7C97">
        <w:t xml:space="preserve">Such an </w:t>
      </w:r>
      <w:r w:rsidR="0090544B">
        <w:t xml:space="preserve">allocation is </w:t>
      </w:r>
      <w:r w:rsidR="0012733B">
        <w:t xml:space="preserve">necessary </w:t>
      </w:r>
      <w:proofErr w:type="gramStart"/>
      <w:r w:rsidR="0012733B">
        <w:t>in light of</w:t>
      </w:r>
      <w:proofErr w:type="gramEnd"/>
      <w:r w:rsidR="0012733B">
        <w:t xml:space="preserve"> the constitutionally </w:t>
      </w:r>
      <w:r w:rsidR="001A7C97">
        <w:t>defined</w:t>
      </w:r>
      <w:r w:rsidR="0012733B">
        <w:t xml:space="preserve">, jurisprudentially recognized scope of what parish assessors </w:t>
      </w:r>
      <w:r w:rsidR="001A7C97">
        <w:t xml:space="preserve">must assess when </w:t>
      </w:r>
      <w:r w:rsidR="0012733B">
        <w:t>valuing intrastate pipeline property.</w:t>
      </w:r>
      <w:r w:rsidR="00E86FB8">
        <w:t xml:space="preserve"> </w:t>
      </w:r>
      <w:r w:rsidR="00D96913">
        <w:t xml:space="preserve">Because the Assessors </w:t>
      </w:r>
      <w:r w:rsidR="00E86FB8">
        <w:t xml:space="preserve">are constitutionally required </w:t>
      </w:r>
      <w:r w:rsidR="00D96913">
        <w:t xml:space="preserve">to assess only the property within their jurisdiction, they </w:t>
      </w:r>
      <w:r w:rsidR="00D96913">
        <w:lastRenderedPageBreak/>
        <w:t xml:space="preserve">did not err in disallowing the claimed reduction for the economic obsolescence </w:t>
      </w:r>
      <w:r w:rsidR="001A7C97">
        <w:t>based on the business enterprise value of</w:t>
      </w:r>
      <w:r w:rsidR="00D96913">
        <w:t xml:space="preserve"> RIG</w:t>
      </w:r>
      <w:r w:rsidR="00DF5B0A">
        <w:t>’</w:t>
      </w:r>
      <w:r w:rsidR="00D96913">
        <w:t>s Pipeline System as a whole.</w:t>
      </w:r>
      <w:r w:rsidR="00E86FB8">
        <w:t xml:space="preserve"> </w:t>
      </w:r>
      <w:r w:rsidR="001A7C97">
        <w:t>Accordingly, the Board finds that t</w:t>
      </w:r>
      <w:r w:rsidR="0012733B">
        <w:t>he LTC</w:t>
      </w:r>
      <w:r w:rsidR="001A7C97">
        <w:t xml:space="preserve"> correctly affirmed the Assessors’ determinations for 2019, but incorrectly overturned the Assessors’ determinations </w:t>
      </w:r>
      <w:r w:rsidR="0012733B">
        <w:t>for 2020, 2021, 2022, and 2023.</w:t>
      </w:r>
    </w:p>
    <w:p w14:paraId="664DA469" w14:textId="6D337016" w:rsidR="00245851" w:rsidRPr="00C267D7" w:rsidRDefault="00245851" w:rsidP="00FE71F3">
      <w:pPr>
        <w:rPr>
          <w:b/>
          <w:bCs/>
        </w:rPr>
      </w:pPr>
      <w:r w:rsidRPr="00C267D7">
        <w:rPr>
          <w:b/>
          <w:bCs/>
        </w:rPr>
        <w:t xml:space="preserve">Baton Rouge, Louisiana, on this </w:t>
      </w:r>
      <w:r w:rsidR="00C267D7" w:rsidRPr="00C267D7">
        <w:rPr>
          <w:b/>
          <w:bCs/>
        </w:rPr>
        <w:t>7</w:t>
      </w:r>
      <w:r w:rsidR="00C267D7" w:rsidRPr="00C267D7">
        <w:rPr>
          <w:b/>
          <w:bCs/>
          <w:vertAlign w:val="superscript"/>
        </w:rPr>
        <w:t>th</w:t>
      </w:r>
      <w:r w:rsidR="00C267D7" w:rsidRPr="00C267D7">
        <w:rPr>
          <w:b/>
          <w:bCs/>
        </w:rPr>
        <w:t xml:space="preserve"> </w:t>
      </w:r>
      <w:r w:rsidRPr="00C267D7">
        <w:rPr>
          <w:b/>
          <w:bCs/>
        </w:rPr>
        <w:t xml:space="preserve">Day of </w:t>
      </w:r>
      <w:proofErr w:type="gramStart"/>
      <w:r w:rsidR="00C267D7" w:rsidRPr="00C267D7">
        <w:rPr>
          <w:b/>
          <w:bCs/>
        </w:rPr>
        <w:t>April</w:t>
      </w:r>
      <w:r w:rsidRPr="00C267D7">
        <w:rPr>
          <w:b/>
          <w:bCs/>
        </w:rPr>
        <w:t>,</w:t>
      </w:r>
      <w:proofErr w:type="gramEnd"/>
      <w:r w:rsidRPr="00C267D7">
        <w:rPr>
          <w:b/>
          <w:bCs/>
        </w:rPr>
        <w:t xml:space="preserve"> 2026.</w:t>
      </w:r>
    </w:p>
    <w:p w14:paraId="2FA40089" w14:textId="77777777" w:rsidR="00C267D7" w:rsidRPr="00C267D7" w:rsidRDefault="00C267D7" w:rsidP="00C267D7">
      <w:pPr>
        <w:rPr>
          <w:b/>
          <w:bCs/>
        </w:rPr>
      </w:pPr>
      <w:r w:rsidRPr="00C267D7">
        <w:rPr>
          <w:b/>
          <w:bCs/>
        </w:rPr>
        <w:t>For the Board:</w:t>
      </w:r>
    </w:p>
    <w:p w14:paraId="41B544B0" w14:textId="77777777" w:rsidR="00C267D7" w:rsidRPr="00C267D7" w:rsidRDefault="00C267D7" w:rsidP="00C267D7">
      <w:pPr>
        <w:rPr>
          <w:b/>
          <w:bCs/>
        </w:rPr>
      </w:pPr>
      <w:r w:rsidRPr="00C267D7">
        <w:rPr>
          <w:b/>
          <w:bCs/>
        </w:rPr>
        <w:t>Hon. Cade R. Cole</w:t>
      </w:r>
    </w:p>
    <w:p w14:paraId="6218E143" w14:textId="77777777" w:rsidR="00C267D7" w:rsidRPr="00C267D7" w:rsidRDefault="00C267D7" w:rsidP="00C267D7">
      <w:pPr>
        <w:rPr>
          <w:b/>
          <w:bCs/>
        </w:rPr>
      </w:pPr>
      <w:r w:rsidRPr="00C267D7">
        <w:rPr>
          <w:b/>
          <w:bCs/>
        </w:rPr>
        <w:t xml:space="preserve">Local Tax Judge </w:t>
      </w:r>
      <w:r w:rsidRPr="00C267D7">
        <w:rPr>
          <w:b/>
          <w:bCs/>
          <w:i/>
        </w:rPr>
        <w:t>Ad Hoc</w:t>
      </w:r>
    </w:p>
    <w:p w14:paraId="6F86B28F" w14:textId="77777777" w:rsidR="00C267D7" w:rsidRPr="00C267D7" w:rsidRDefault="00C267D7" w:rsidP="00C267D7">
      <w:pPr>
        <w:rPr>
          <w:b/>
          <w:bCs/>
        </w:rPr>
      </w:pPr>
      <w:r w:rsidRPr="00C267D7">
        <w:rPr>
          <w:b/>
          <w:bCs/>
        </w:rPr>
        <w:t>Board of Tax Appeals</w:t>
      </w:r>
    </w:p>
    <w:p w14:paraId="11AAE72A" w14:textId="793585AC" w:rsidR="007D6212" w:rsidRDefault="00C267D7" w:rsidP="00FE71F3">
      <w:r w:rsidRPr="00C267D7">
        <w:rPr>
          <w:b/>
          <w:bCs/>
        </w:rPr>
        <w:t>State of Louisiana</w:t>
      </w:r>
    </w:p>
    <w:p w14:paraId="4394A905" w14:textId="77777777" w:rsidR="00C651B3" w:rsidRPr="00C651B3" w:rsidRDefault="00C651B3" w:rsidP="00FE71F3"/>
    <w:sectPr w:rsidR="00C651B3" w:rsidRPr="00C651B3" w:rsidSect="00CA1B87">
      <w:footerReference w:type="default" r:id="rId8"/>
      <w:footnotePr>
        <w:numRestart w:val="eachSect"/>
      </w:footnotePr>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119B" w14:textId="77777777" w:rsidR="00CC04F7" w:rsidRDefault="00CC04F7" w:rsidP="00FE71F3">
      <w:r>
        <w:separator/>
      </w:r>
    </w:p>
  </w:endnote>
  <w:endnote w:type="continuationSeparator" w:id="0">
    <w:p w14:paraId="5428408C" w14:textId="77777777" w:rsidR="00CC04F7" w:rsidRDefault="00CC04F7" w:rsidP="00FE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43087"/>
      <w:docPartObj>
        <w:docPartGallery w:val="Page Numbers (Bottom of Page)"/>
        <w:docPartUnique/>
      </w:docPartObj>
    </w:sdtPr>
    <w:sdtEndPr>
      <w:rPr>
        <w:noProof/>
      </w:rPr>
    </w:sdtEndPr>
    <w:sdtContent>
      <w:p w14:paraId="2977E193" w14:textId="362CECFA" w:rsidR="005B67A0" w:rsidRDefault="005B67A0" w:rsidP="00FE71F3">
        <w:pPr>
          <w:pStyle w:val="Footer"/>
          <w:spacing w:after="0"/>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84391771"/>
      <w:docPartObj>
        <w:docPartGallery w:val="Page Numbers (Bottom of Page)"/>
        <w:docPartUnique/>
      </w:docPartObj>
    </w:sdtPr>
    <w:sdtEndPr>
      <w:rPr>
        <w:noProof/>
      </w:rPr>
    </w:sdtEndPr>
    <w:sdtContent>
      <w:p w14:paraId="432768A4" w14:textId="77777777" w:rsidR="00C267D7" w:rsidRPr="00352B5A" w:rsidRDefault="00C267D7" w:rsidP="00FE71F3">
        <w:pPr>
          <w:pStyle w:val="Footer"/>
          <w:spacing w:after="0"/>
          <w:ind w:firstLine="0"/>
          <w:jc w:val="center"/>
          <w:rPr>
            <w:sz w:val="24"/>
            <w:szCs w:val="24"/>
          </w:rPr>
        </w:pPr>
        <w:r w:rsidRPr="00352B5A">
          <w:rPr>
            <w:sz w:val="24"/>
            <w:szCs w:val="24"/>
          </w:rPr>
          <w:fldChar w:fldCharType="begin"/>
        </w:r>
        <w:r w:rsidRPr="00352B5A">
          <w:rPr>
            <w:sz w:val="24"/>
            <w:szCs w:val="24"/>
          </w:rPr>
          <w:instrText xml:space="preserve"> PAGE   \* MERGEFORMAT </w:instrText>
        </w:r>
        <w:r w:rsidRPr="00352B5A">
          <w:rPr>
            <w:sz w:val="24"/>
            <w:szCs w:val="24"/>
          </w:rPr>
          <w:fldChar w:fldCharType="separate"/>
        </w:r>
        <w:r w:rsidRPr="00352B5A">
          <w:rPr>
            <w:noProof/>
            <w:sz w:val="24"/>
            <w:szCs w:val="24"/>
          </w:rPr>
          <w:t>2</w:t>
        </w:r>
        <w:r w:rsidRPr="00352B5A">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8FB4" w14:textId="77777777" w:rsidR="00CC04F7" w:rsidRDefault="00CC04F7" w:rsidP="00FE71F3">
      <w:r>
        <w:separator/>
      </w:r>
    </w:p>
  </w:footnote>
  <w:footnote w:type="continuationSeparator" w:id="0">
    <w:p w14:paraId="0C22BC70" w14:textId="77777777" w:rsidR="00CC04F7" w:rsidRDefault="00CC04F7" w:rsidP="00FE71F3">
      <w:r>
        <w:continuationSeparator/>
      </w:r>
    </w:p>
  </w:footnote>
  <w:footnote w:id="1">
    <w:p w14:paraId="158A239C" w14:textId="62625239" w:rsidR="00FE71F3" w:rsidRPr="00352B5A" w:rsidRDefault="00FE71F3"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w:t>
      </w:r>
      <w:r w:rsidRPr="00352B5A">
        <w:rPr>
          <w:sz w:val="24"/>
          <w:szCs w:val="24"/>
        </w:rPr>
        <w:t xml:space="preserve">Justice Cole was appointed Local Tax Judge </w:t>
      </w:r>
      <w:r w:rsidRPr="00352B5A">
        <w:rPr>
          <w:i/>
          <w:iCs/>
          <w:sz w:val="24"/>
          <w:szCs w:val="24"/>
        </w:rPr>
        <w:t>Ad Hoc</w:t>
      </w:r>
      <w:r w:rsidRPr="00352B5A">
        <w:rPr>
          <w:sz w:val="24"/>
          <w:szCs w:val="24"/>
        </w:rPr>
        <w:t xml:space="preserve"> by Order of the Louisiana Supreme Court on March 18, 2025, to complete this case</w:t>
      </w:r>
    </w:p>
  </w:footnote>
  <w:footnote w:id="2">
    <w:p w14:paraId="733F7274" w14:textId="110A086D" w:rsidR="00FE71F3" w:rsidRPr="00352B5A" w:rsidRDefault="00FE71F3"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w:t>
      </w:r>
      <w:r w:rsidRPr="00352B5A">
        <w:rPr>
          <w:sz w:val="24"/>
          <w:szCs w:val="24"/>
        </w:rPr>
        <w:t>On February 28, 2025, Assessor Henderson was substituted for former Assessor Rod Elrod.</w:t>
      </w:r>
    </w:p>
  </w:footnote>
  <w:footnote w:id="3">
    <w:p w14:paraId="769BB5E7" w14:textId="5B25A08F" w:rsidR="004337D7" w:rsidRPr="00352B5A" w:rsidRDefault="004337D7"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Justice Cole was appointed Local Tax Judge </w:t>
      </w:r>
      <w:r w:rsidR="008C2CAA" w:rsidRPr="00352B5A">
        <w:rPr>
          <w:i/>
          <w:iCs/>
          <w:sz w:val="24"/>
          <w:szCs w:val="24"/>
        </w:rPr>
        <w:t>Ad Hoc</w:t>
      </w:r>
      <w:r w:rsidR="008C2CAA" w:rsidRPr="00352B5A">
        <w:rPr>
          <w:sz w:val="24"/>
          <w:szCs w:val="24"/>
        </w:rPr>
        <w:t xml:space="preserve"> </w:t>
      </w:r>
      <w:r w:rsidRPr="00352B5A">
        <w:rPr>
          <w:sz w:val="24"/>
          <w:szCs w:val="24"/>
        </w:rPr>
        <w:t>by Order of the Louisiana Supreme Court on March 18, 2025</w:t>
      </w:r>
      <w:r w:rsidR="00F26D20" w:rsidRPr="00352B5A">
        <w:rPr>
          <w:sz w:val="24"/>
          <w:szCs w:val="24"/>
        </w:rPr>
        <w:t>, to complete the adjudication of this case</w:t>
      </w:r>
      <w:r w:rsidRPr="00352B5A">
        <w:rPr>
          <w:sz w:val="24"/>
          <w:szCs w:val="24"/>
        </w:rPr>
        <w:t>.</w:t>
      </w:r>
    </w:p>
  </w:footnote>
  <w:footnote w:id="4">
    <w:p w14:paraId="6AD0EE1D" w14:textId="52145037" w:rsidR="00565A21" w:rsidRPr="00352B5A" w:rsidRDefault="00565A21"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On February 28, 2025, Assessor Henderson was substituted for former Assessor Rod Elrod.</w:t>
      </w:r>
    </w:p>
  </w:footnote>
  <w:footnote w:id="5">
    <w:p w14:paraId="38B5C2C4" w14:textId="4D5F52C8" w:rsidR="002B59E9" w:rsidRPr="00352B5A" w:rsidRDefault="002B59E9"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RIG</w:t>
      </w:r>
      <w:r w:rsidR="00DF5B0A" w:rsidRPr="00352B5A">
        <w:rPr>
          <w:sz w:val="24"/>
          <w:szCs w:val="24"/>
        </w:rPr>
        <w:t>’</w:t>
      </w:r>
      <w:r w:rsidRPr="00352B5A">
        <w:rPr>
          <w:sz w:val="24"/>
          <w:szCs w:val="24"/>
        </w:rPr>
        <w:t>s Petition for Judicial Review of Final Determination of the Louisiana Tax Commission, filed in B.T.A. Docket No. L01813.</w:t>
      </w:r>
    </w:p>
  </w:footnote>
  <w:footnote w:id="6">
    <w:p w14:paraId="2FFDB990" w14:textId="204FFBED" w:rsidR="002B59E9" w:rsidRPr="00352B5A" w:rsidRDefault="002B59E9"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RIG</w:t>
      </w:r>
      <w:r w:rsidR="00DF5B0A" w:rsidRPr="00352B5A">
        <w:rPr>
          <w:sz w:val="24"/>
          <w:szCs w:val="24"/>
        </w:rPr>
        <w:t>’</w:t>
      </w:r>
      <w:r w:rsidRPr="00352B5A">
        <w:rPr>
          <w:sz w:val="24"/>
          <w:szCs w:val="24"/>
        </w:rPr>
        <w:t>s Answer to Petition for Judicial Review, filed in B.T.A. Docket No. L02447.</w:t>
      </w:r>
    </w:p>
  </w:footnote>
  <w:footnote w:id="7">
    <w:p w14:paraId="33C4936B" w14:textId="51AC72AB" w:rsidR="002B59E9" w:rsidRPr="00352B5A" w:rsidRDefault="002B59E9"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Assessor</w:t>
      </w:r>
      <w:r w:rsidR="008C2CAA" w:rsidRPr="00352B5A">
        <w:rPr>
          <w:sz w:val="24"/>
          <w:szCs w:val="24"/>
        </w:rPr>
        <w:t>s</w:t>
      </w:r>
      <w:r w:rsidR="00DF5B0A" w:rsidRPr="00352B5A">
        <w:rPr>
          <w:sz w:val="24"/>
          <w:szCs w:val="24"/>
        </w:rPr>
        <w:t>’</w:t>
      </w:r>
      <w:r w:rsidRPr="00352B5A">
        <w:rPr>
          <w:sz w:val="24"/>
          <w:szCs w:val="24"/>
        </w:rPr>
        <w:t xml:space="preserve"> Petition for Appeal, filed in B.T.A. Docket No. L01814.</w:t>
      </w:r>
    </w:p>
  </w:footnote>
  <w:footnote w:id="8">
    <w:p w14:paraId="17583C00" w14:textId="77777777" w:rsidR="002B59E9" w:rsidRPr="00352B5A" w:rsidRDefault="002B59E9"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Id.</w:t>
      </w:r>
    </w:p>
  </w:footnote>
  <w:footnote w:id="9">
    <w:p w14:paraId="2F029475" w14:textId="5FB7E1C9" w:rsidR="002B59E9" w:rsidRPr="00352B5A" w:rsidRDefault="002B59E9"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Assessor</w:t>
      </w:r>
      <w:r w:rsidR="008C2CAA" w:rsidRPr="00352B5A">
        <w:rPr>
          <w:sz w:val="24"/>
          <w:szCs w:val="24"/>
        </w:rPr>
        <w:t>s</w:t>
      </w:r>
      <w:r w:rsidR="00DF5B0A" w:rsidRPr="00352B5A">
        <w:rPr>
          <w:sz w:val="24"/>
          <w:szCs w:val="24"/>
        </w:rPr>
        <w:t>’</w:t>
      </w:r>
      <w:r w:rsidRPr="00352B5A">
        <w:rPr>
          <w:sz w:val="24"/>
          <w:szCs w:val="24"/>
        </w:rPr>
        <w:t xml:space="preserve"> Petition for Appeal, filed in B.T.A. Docket No. L02447.</w:t>
      </w:r>
    </w:p>
  </w:footnote>
  <w:footnote w:id="10">
    <w:p w14:paraId="110618C9" w14:textId="77777777" w:rsidR="002B59E9" w:rsidRPr="00352B5A" w:rsidRDefault="002B59E9"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Id.</w:t>
      </w:r>
    </w:p>
  </w:footnote>
  <w:footnote w:id="11">
    <w:p w14:paraId="36B2BFDA" w14:textId="4BB13B7F" w:rsidR="004828F6" w:rsidRPr="00352B5A" w:rsidRDefault="004828F6"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For this purpose, Alinda consisted of two limited partnerships: Alinda Gas Pipeline I, LP, and Alinda Gas Pipeline II, LP.</w:t>
      </w:r>
    </w:p>
  </w:footnote>
  <w:footnote w:id="12">
    <w:p w14:paraId="6E76E414" w14:textId="69446401" w:rsidR="00A41E9B" w:rsidRPr="00352B5A" w:rsidRDefault="00A41E9B"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ETP purchased RIG in 2015.</w:t>
      </w:r>
    </w:p>
  </w:footnote>
  <w:footnote w:id="13">
    <w:p w14:paraId="3D6C2D0A" w14:textId="7FBD77A4" w:rsidR="00C44046" w:rsidRPr="00352B5A" w:rsidRDefault="00C44046"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w:t>
      </w:r>
      <w:r w:rsidR="00541A67" w:rsidRPr="00352B5A">
        <w:rPr>
          <w:sz w:val="24"/>
          <w:szCs w:val="24"/>
        </w:rPr>
        <w:t>It was pointed out during the hearings that</w:t>
      </w:r>
      <w:r w:rsidRPr="00352B5A">
        <w:rPr>
          <w:sz w:val="24"/>
          <w:szCs w:val="24"/>
        </w:rPr>
        <w:t xml:space="preserve"> </w:t>
      </w:r>
      <w:r w:rsidR="003C2CC8" w:rsidRPr="00352B5A">
        <w:rPr>
          <w:sz w:val="24"/>
          <w:szCs w:val="24"/>
        </w:rPr>
        <w:t>ETP</w:t>
      </w:r>
      <w:r w:rsidR="00DF5B0A" w:rsidRPr="00352B5A">
        <w:rPr>
          <w:sz w:val="24"/>
          <w:szCs w:val="24"/>
        </w:rPr>
        <w:t>’</w:t>
      </w:r>
      <w:r w:rsidR="003C2CC8" w:rsidRPr="00352B5A">
        <w:rPr>
          <w:sz w:val="24"/>
          <w:szCs w:val="24"/>
        </w:rPr>
        <w:t xml:space="preserve">s </w:t>
      </w:r>
      <w:r w:rsidRPr="00352B5A">
        <w:rPr>
          <w:sz w:val="24"/>
          <w:szCs w:val="24"/>
        </w:rPr>
        <w:t>organizational charts identified Regency Intrastate Gas, LP</w:t>
      </w:r>
      <w:r w:rsidR="00804B3D" w:rsidRPr="00352B5A">
        <w:rPr>
          <w:sz w:val="24"/>
          <w:szCs w:val="24"/>
        </w:rPr>
        <w:t>, instead of RIG,</w:t>
      </w:r>
      <w:r w:rsidRPr="00352B5A">
        <w:rPr>
          <w:sz w:val="24"/>
          <w:szCs w:val="24"/>
        </w:rPr>
        <w:t xml:space="preserve"> as the owner of the Pipeline System. </w:t>
      </w:r>
      <w:r w:rsidR="00541A67" w:rsidRPr="00352B5A">
        <w:rPr>
          <w:sz w:val="24"/>
          <w:szCs w:val="24"/>
        </w:rPr>
        <w:t xml:space="preserve">However, </w:t>
      </w:r>
      <w:r w:rsidR="003C2CC8" w:rsidRPr="00352B5A">
        <w:rPr>
          <w:sz w:val="24"/>
          <w:szCs w:val="24"/>
        </w:rPr>
        <w:t>Megan McKavanaugh, ETP</w:t>
      </w:r>
      <w:r w:rsidR="00DF5B0A" w:rsidRPr="00352B5A">
        <w:rPr>
          <w:sz w:val="24"/>
          <w:szCs w:val="24"/>
        </w:rPr>
        <w:t>’</w:t>
      </w:r>
      <w:r w:rsidR="003C2CC8" w:rsidRPr="00352B5A">
        <w:rPr>
          <w:sz w:val="24"/>
          <w:szCs w:val="24"/>
        </w:rPr>
        <w:t>s Director of Property Tax</w:t>
      </w:r>
      <w:r w:rsidR="00541A67" w:rsidRPr="00352B5A">
        <w:rPr>
          <w:sz w:val="24"/>
          <w:szCs w:val="24"/>
        </w:rPr>
        <w:t>,</w:t>
      </w:r>
      <w:r w:rsidRPr="00352B5A">
        <w:rPr>
          <w:sz w:val="24"/>
          <w:szCs w:val="24"/>
        </w:rPr>
        <w:t xml:space="preserve"> testified that RIG was the entity who owned the Property and in whose name the property tax renditions were filed for the </w:t>
      </w:r>
      <w:r w:rsidR="008C2CAA" w:rsidRPr="00352B5A">
        <w:rPr>
          <w:sz w:val="24"/>
          <w:szCs w:val="24"/>
        </w:rPr>
        <w:t xml:space="preserve">Tax Years </w:t>
      </w:r>
      <w:r w:rsidRPr="00352B5A">
        <w:rPr>
          <w:sz w:val="24"/>
          <w:szCs w:val="24"/>
        </w:rPr>
        <w:t>at issue.</w:t>
      </w:r>
    </w:p>
  </w:footnote>
  <w:footnote w:id="14">
    <w:p w14:paraId="19337DFB" w14:textId="72823C0A" w:rsidR="00EF3784" w:rsidRPr="00352B5A" w:rsidRDefault="00EF3784"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w:t>
      </w:r>
      <w:r w:rsidRPr="00352B5A">
        <w:rPr>
          <w:i/>
          <w:iCs/>
          <w:sz w:val="24"/>
          <w:szCs w:val="24"/>
        </w:rPr>
        <w:t>Regency Intrastate Gas, LLC v. Louisiana Tax Comm</w:t>
      </w:r>
      <w:r w:rsidR="00DF5B0A" w:rsidRPr="00352B5A">
        <w:rPr>
          <w:i/>
          <w:iCs/>
          <w:sz w:val="24"/>
          <w:szCs w:val="24"/>
        </w:rPr>
        <w:t>’</w:t>
      </w:r>
      <w:r w:rsidRPr="00352B5A">
        <w:rPr>
          <w:i/>
          <w:iCs/>
          <w:sz w:val="24"/>
          <w:szCs w:val="24"/>
        </w:rPr>
        <w:t>n</w:t>
      </w:r>
      <w:r w:rsidRPr="00352B5A">
        <w:rPr>
          <w:sz w:val="24"/>
          <w:szCs w:val="24"/>
        </w:rPr>
        <w:t xml:space="preserve">, 2021-0271 (La. App. 1 Cir. 9/27/21), 329 So.3d 838, </w:t>
      </w:r>
      <w:r w:rsidRPr="00352B5A">
        <w:rPr>
          <w:i/>
          <w:iCs/>
          <w:sz w:val="24"/>
          <w:szCs w:val="24"/>
        </w:rPr>
        <w:t>writ denied</w:t>
      </w:r>
      <w:r w:rsidRPr="00352B5A">
        <w:rPr>
          <w:sz w:val="24"/>
          <w:szCs w:val="24"/>
        </w:rPr>
        <w:t xml:space="preserve">, 2021-01559 (La. 1/19/22), 331 So.3d 320. </w:t>
      </w:r>
      <w:r w:rsidR="00541A67" w:rsidRPr="00352B5A">
        <w:rPr>
          <w:sz w:val="24"/>
          <w:szCs w:val="24"/>
        </w:rPr>
        <w:t xml:space="preserve">For 2018, </w:t>
      </w:r>
      <w:r w:rsidRPr="00352B5A">
        <w:rPr>
          <w:sz w:val="24"/>
          <w:szCs w:val="24"/>
        </w:rPr>
        <w:t xml:space="preserve">RIG </w:t>
      </w:r>
      <w:r w:rsidR="00541A67" w:rsidRPr="00352B5A">
        <w:rPr>
          <w:sz w:val="24"/>
          <w:szCs w:val="24"/>
        </w:rPr>
        <w:t xml:space="preserve">also </w:t>
      </w:r>
      <w:r w:rsidRPr="00352B5A">
        <w:rPr>
          <w:sz w:val="24"/>
          <w:szCs w:val="24"/>
        </w:rPr>
        <w:t>presented evidence concerning market conditions and the cancellation of its firm contracts</w:t>
      </w:r>
      <w:r w:rsidR="00541A67" w:rsidRPr="00352B5A">
        <w:rPr>
          <w:sz w:val="24"/>
          <w:szCs w:val="24"/>
        </w:rPr>
        <w:t>,</w:t>
      </w:r>
      <w:r w:rsidRPr="00352B5A">
        <w:rPr>
          <w:sz w:val="24"/>
          <w:szCs w:val="24"/>
        </w:rPr>
        <w:t xml:space="preserve"> which the LTC also rejected. </w:t>
      </w:r>
      <w:r w:rsidRPr="00352B5A">
        <w:rPr>
          <w:i/>
          <w:iCs/>
          <w:sz w:val="24"/>
          <w:szCs w:val="24"/>
        </w:rPr>
        <w:t>Id.</w:t>
      </w:r>
    </w:p>
  </w:footnote>
  <w:footnote w:id="15">
    <w:p w14:paraId="631FD535" w14:textId="22A3C365" w:rsidR="006D3BE5" w:rsidRPr="00352B5A" w:rsidRDefault="006D3BE5"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There is some discrepancy in these figures across the different documents in the record. The Board</w:t>
      </w:r>
      <w:r w:rsidR="00DF5B0A" w:rsidRPr="00352B5A">
        <w:rPr>
          <w:sz w:val="24"/>
          <w:szCs w:val="24"/>
        </w:rPr>
        <w:t>’</w:t>
      </w:r>
      <w:r w:rsidRPr="00352B5A">
        <w:rPr>
          <w:sz w:val="24"/>
          <w:szCs w:val="24"/>
        </w:rPr>
        <w:t>s table reflects the business enterprise valuations stated in the conclusions to Ms. Cartwright</w:t>
      </w:r>
      <w:r w:rsidR="00DF5B0A" w:rsidRPr="00352B5A">
        <w:rPr>
          <w:sz w:val="24"/>
          <w:szCs w:val="24"/>
        </w:rPr>
        <w:t>’</w:t>
      </w:r>
      <w:r w:rsidRPr="00352B5A">
        <w:rPr>
          <w:sz w:val="24"/>
          <w:szCs w:val="24"/>
        </w:rPr>
        <w:t xml:space="preserve">s appraisals </w:t>
      </w:r>
      <w:r w:rsidR="00541A67" w:rsidRPr="00352B5A">
        <w:rPr>
          <w:sz w:val="24"/>
          <w:szCs w:val="24"/>
        </w:rPr>
        <w:t>compared to</w:t>
      </w:r>
      <w:r w:rsidRPr="00352B5A">
        <w:rPr>
          <w:sz w:val="24"/>
          <w:szCs w:val="24"/>
        </w:rPr>
        <w:t xml:space="preserve"> the Pipeline System</w:t>
      </w:r>
      <w:r w:rsidR="00DF5B0A" w:rsidRPr="00352B5A">
        <w:rPr>
          <w:sz w:val="24"/>
          <w:szCs w:val="24"/>
        </w:rPr>
        <w:t>’</w:t>
      </w:r>
      <w:r w:rsidRPr="00352B5A">
        <w:rPr>
          <w:sz w:val="24"/>
          <w:szCs w:val="24"/>
        </w:rPr>
        <w:t>s total assessed value</w:t>
      </w:r>
      <w:r w:rsidR="00541A67" w:rsidRPr="00352B5A">
        <w:rPr>
          <w:sz w:val="24"/>
          <w:szCs w:val="24"/>
        </w:rPr>
        <w:t>s</w:t>
      </w:r>
      <w:r w:rsidRPr="00352B5A">
        <w:rPr>
          <w:sz w:val="24"/>
          <w:szCs w:val="24"/>
        </w:rPr>
        <w:t xml:space="preserve"> as stated</w:t>
      </w:r>
      <w:r w:rsidR="00541A67" w:rsidRPr="00352B5A">
        <w:rPr>
          <w:sz w:val="24"/>
          <w:szCs w:val="24"/>
        </w:rPr>
        <w:t xml:space="preserve"> in</w:t>
      </w:r>
      <w:r w:rsidRPr="00352B5A">
        <w:rPr>
          <w:sz w:val="24"/>
          <w:szCs w:val="24"/>
        </w:rPr>
        <w:t xml:space="preserve"> </w:t>
      </w:r>
      <w:r w:rsidR="00541A67" w:rsidRPr="00352B5A">
        <w:rPr>
          <w:sz w:val="24"/>
          <w:szCs w:val="24"/>
        </w:rPr>
        <w:t>the appeal letters in the record that accompanied RIG’s appeals to the parishes’</w:t>
      </w:r>
      <w:r w:rsidRPr="00352B5A">
        <w:rPr>
          <w:sz w:val="24"/>
          <w:szCs w:val="24"/>
        </w:rPr>
        <w:t xml:space="preserve"> Board</w:t>
      </w:r>
      <w:r w:rsidR="00541A67" w:rsidRPr="00352B5A">
        <w:rPr>
          <w:sz w:val="24"/>
          <w:szCs w:val="24"/>
        </w:rPr>
        <w:t>s</w:t>
      </w:r>
      <w:r w:rsidRPr="00352B5A">
        <w:rPr>
          <w:sz w:val="24"/>
          <w:szCs w:val="24"/>
        </w:rPr>
        <w:t xml:space="preserve"> of Review.</w:t>
      </w:r>
    </w:p>
  </w:footnote>
  <w:footnote w:id="16">
    <w:p w14:paraId="491A36F1" w14:textId="7F8BB40F" w:rsidR="0030545D" w:rsidRPr="00352B5A" w:rsidRDefault="0030545D"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The Board calculates the </w:t>
      </w:r>
      <w:proofErr w:type="gramStart"/>
      <w:r w:rsidRPr="00352B5A">
        <w:rPr>
          <w:sz w:val="24"/>
          <w:szCs w:val="24"/>
        </w:rPr>
        <w:t>sum total</w:t>
      </w:r>
      <w:proofErr w:type="gramEnd"/>
      <w:r w:rsidRPr="00352B5A">
        <w:rPr>
          <w:sz w:val="24"/>
          <w:szCs w:val="24"/>
        </w:rPr>
        <w:t xml:space="preserve"> of assessed values in Jackson Parish for 2019 to be $135,563,667.00.</w:t>
      </w:r>
    </w:p>
  </w:footnote>
  <w:footnote w:id="17">
    <w:p w14:paraId="13DADCD6" w14:textId="2D879065" w:rsidR="0030545D" w:rsidRPr="00352B5A" w:rsidRDefault="0030545D"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See note 1</w:t>
      </w:r>
      <w:r w:rsidR="00556830" w:rsidRPr="00352B5A">
        <w:rPr>
          <w:sz w:val="24"/>
          <w:szCs w:val="24"/>
        </w:rPr>
        <w:t>4</w:t>
      </w:r>
      <w:r w:rsidRPr="00352B5A">
        <w:rPr>
          <w:sz w:val="24"/>
          <w:szCs w:val="24"/>
        </w:rPr>
        <w:t xml:space="preserve">, </w:t>
      </w:r>
      <w:r w:rsidRPr="00352B5A">
        <w:rPr>
          <w:i/>
          <w:iCs/>
          <w:sz w:val="24"/>
          <w:szCs w:val="24"/>
        </w:rPr>
        <w:t>supra</w:t>
      </w:r>
      <w:r w:rsidRPr="00352B5A">
        <w:rPr>
          <w:sz w:val="24"/>
          <w:szCs w:val="24"/>
        </w:rPr>
        <w:t>.</w:t>
      </w:r>
    </w:p>
  </w:footnote>
  <w:footnote w:id="18">
    <w:p w14:paraId="15329606" w14:textId="6365430A" w:rsidR="00370585" w:rsidRPr="00352B5A" w:rsidRDefault="00370585" w:rsidP="00BA35F1">
      <w:pPr>
        <w:spacing w:line="360" w:lineRule="auto"/>
        <w:ind w:left="720" w:right="720" w:firstLine="0"/>
        <w:jc w:val="both"/>
        <w:rPr>
          <w:sz w:val="24"/>
          <w:szCs w:val="24"/>
        </w:rPr>
      </w:pPr>
      <w:r w:rsidRPr="00352B5A">
        <w:rPr>
          <w:rStyle w:val="FootnoteReference"/>
          <w:sz w:val="24"/>
          <w:szCs w:val="24"/>
        </w:rPr>
        <w:footnoteRef/>
      </w:r>
      <w:r w:rsidRPr="00352B5A">
        <w:rPr>
          <w:sz w:val="24"/>
          <w:szCs w:val="24"/>
        </w:rPr>
        <w:t xml:space="preserve"> C. (1) All appeal hearings shall be conducted in accordance with this Section and the Administrative Procedure Act. In all other matters regarding the conduct of its hearings, the Louisiana Tax Commission may prescribe and promulgate rules not inconsistent with the provisions of this Section or other law.</w:t>
      </w:r>
    </w:p>
    <w:p w14:paraId="694BCAFE" w14:textId="5DE2DDD6" w:rsidR="00C72483" w:rsidRPr="00352B5A" w:rsidRDefault="00370585" w:rsidP="00BA35F1">
      <w:pPr>
        <w:spacing w:line="360" w:lineRule="auto"/>
        <w:ind w:left="720" w:right="720" w:firstLine="0"/>
        <w:jc w:val="both"/>
        <w:rPr>
          <w:sz w:val="24"/>
          <w:szCs w:val="24"/>
        </w:rPr>
      </w:pPr>
      <w:r w:rsidRPr="00352B5A">
        <w:rPr>
          <w:sz w:val="24"/>
          <w:szCs w:val="24"/>
        </w:rPr>
        <w:t>(2)</w:t>
      </w:r>
      <w:r w:rsidR="00C72483" w:rsidRPr="00352B5A">
        <w:rPr>
          <w:sz w:val="24"/>
          <w:szCs w:val="24"/>
        </w:rPr>
        <w:tab/>
      </w:r>
      <w:r w:rsidRPr="00352B5A">
        <w:rPr>
          <w:sz w:val="24"/>
          <w:szCs w:val="24"/>
        </w:rPr>
        <w:t>(a)</w:t>
      </w:r>
    </w:p>
    <w:p w14:paraId="28A9471F" w14:textId="69BBEBA3" w:rsidR="00370585" w:rsidRPr="00352B5A" w:rsidRDefault="00370585" w:rsidP="00BA35F1">
      <w:pPr>
        <w:spacing w:line="360" w:lineRule="auto"/>
        <w:ind w:left="720" w:right="720" w:firstLine="0"/>
        <w:jc w:val="both"/>
        <w:rPr>
          <w:sz w:val="24"/>
          <w:szCs w:val="24"/>
        </w:rPr>
      </w:pPr>
      <w:r w:rsidRPr="00352B5A">
        <w:rPr>
          <w:sz w:val="24"/>
          <w:szCs w:val="24"/>
        </w:rPr>
        <w:t>(</w:t>
      </w:r>
      <w:proofErr w:type="spellStart"/>
      <w:r w:rsidRPr="00352B5A">
        <w:rPr>
          <w:sz w:val="24"/>
          <w:szCs w:val="24"/>
        </w:rPr>
        <w:t>i</w:t>
      </w:r>
      <w:proofErr w:type="spellEnd"/>
      <w:r w:rsidRPr="00352B5A">
        <w:rPr>
          <w:sz w:val="24"/>
          <w:szCs w:val="24"/>
        </w:rPr>
        <w:t>) Review of the correctness of an assessment by an assessor shall be confined to review of evidence presented to the assessor prior to the close of the deadline for filing a complaint with the board of review provided for in R.S. 47:1992. If a taxpayer makes application to present additional evidence before the date set for hearing on the appeal and the Louisiana Tax Commission finds that the additional evidence is material and that there were good reasons for failure to timely present it to the assessor, the Louisiana Tax Commission may order that the additional evidence be taken by the assessor. The assessor may modify the assessment by reason of the additional evidence and shall notify the Louisiana Tax Commission of any modifications to the assessment within fifteen calendar days of receipt of the additional evidence. The Louisiana Tax Commission may then order any evidence that is otherwise admissible be admitted for the purposes of review.</w:t>
      </w:r>
    </w:p>
    <w:p w14:paraId="6768E6D3" w14:textId="2E65EA5F" w:rsidR="00370585" w:rsidRPr="00352B5A" w:rsidRDefault="00370585" w:rsidP="00BA35F1">
      <w:pPr>
        <w:spacing w:line="360" w:lineRule="auto"/>
        <w:ind w:left="720" w:right="720" w:firstLine="0"/>
        <w:jc w:val="both"/>
        <w:rPr>
          <w:sz w:val="24"/>
          <w:szCs w:val="24"/>
        </w:rPr>
      </w:pPr>
      <w:r w:rsidRPr="00352B5A">
        <w:rPr>
          <w:sz w:val="24"/>
          <w:szCs w:val="24"/>
        </w:rPr>
        <w:t>(ii) For purposes of this Subparagraph, good reason for failure to timely present information to the assessor shall be presumed to exist for reports and related attachments of any appraiser or other expert ordered prior to the deadline for filing a complaint with the board of review if the report and attachments are submitted to the assessor within thirty days of receipt of the reports and attachments by the taxpayer and at least twenty-five days prior to a hearing before the Louisiana Tax Commission. Nothing in this Item shall be construed to limit the ability of the Louisiana Tax Commission to find good reason to admit other expert reports pursuant to the other provisions of this Subparagraph.</w:t>
      </w:r>
    </w:p>
    <w:p w14:paraId="5369D414" w14:textId="085B55DD" w:rsidR="00370585" w:rsidRPr="00352B5A" w:rsidRDefault="00370585" w:rsidP="00BA35F1">
      <w:pPr>
        <w:spacing w:line="360" w:lineRule="auto"/>
        <w:ind w:left="720" w:right="720" w:firstLine="0"/>
        <w:jc w:val="both"/>
        <w:rPr>
          <w:sz w:val="24"/>
          <w:szCs w:val="24"/>
        </w:rPr>
      </w:pPr>
      <w:r w:rsidRPr="00352B5A">
        <w:rPr>
          <w:sz w:val="24"/>
          <w:szCs w:val="24"/>
        </w:rPr>
        <w:t>(iii) Nothing in this Item shall be construed to limit the ability of the Louisiana Tax Commission to find good reason to admit otherwise admissible documents or evidence pursuant to this Subparagraph. For purposes of this Subparagraph, good reason for failure to timely present documents or evidence shall always be presumed to exist when the otherwise admissible document or evidence is either of the following:</w:t>
      </w:r>
    </w:p>
    <w:p w14:paraId="16873C44" w14:textId="3EBD89C6" w:rsidR="00370585" w:rsidRPr="00352B5A" w:rsidRDefault="00370585" w:rsidP="00BA35F1">
      <w:pPr>
        <w:spacing w:line="360" w:lineRule="auto"/>
        <w:ind w:left="720" w:right="720" w:firstLine="0"/>
        <w:jc w:val="both"/>
        <w:rPr>
          <w:sz w:val="24"/>
          <w:szCs w:val="24"/>
        </w:rPr>
      </w:pPr>
      <w:r w:rsidRPr="00352B5A">
        <w:rPr>
          <w:sz w:val="24"/>
          <w:szCs w:val="24"/>
        </w:rPr>
        <w:t>(aa) Not available to the taxpayer at the time of the deadline for submission to the assessor but is provided to the assessor within fifteen days of availability including but not limited to financial or accounting documents, financial statements, information regarding the useful life of property, depreciation schedules, other records of income data, or environmental assessments or reports relating to the property.</w:t>
      </w:r>
    </w:p>
    <w:p w14:paraId="26996526" w14:textId="77F9A1B5" w:rsidR="00370585" w:rsidRPr="00352B5A" w:rsidRDefault="00370585" w:rsidP="00BA35F1">
      <w:pPr>
        <w:spacing w:line="360" w:lineRule="auto"/>
        <w:ind w:left="720" w:right="720" w:firstLine="0"/>
        <w:jc w:val="both"/>
        <w:rPr>
          <w:sz w:val="24"/>
          <w:szCs w:val="24"/>
        </w:rPr>
      </w:pPr>
      <w:r w:rsidRPr="00352B5A">
        <w:rPr>
          <w:sz w:val="24"/>
          <w:szCs w:val="24"/>
        </w:rPr>
        <w:t>(bb) Consists of documents or records of income or expenses concerning the valuation of oil and gas property when the taxpayer has timely provided all information required by rule and the documents or records are supplemental to the submission. The presumption provided for in this Subitem shall not apply to documents or records specifically required to be provided by rule or expressly requested by the assessor pursuant to R.S. 47:1957(C) if the documents were available to the taxpayer but not timely provided in response to the assessor’s request.</w:t>
      </w:r>
    </w:p>
    <w:p w14:paraId="16F6209D" w14:textId="1E107232" w:rsidR="00370585" w:rsidRPr="00352B5A" w:rsidRDefault="00370585" w:rsidP="00BA35F1">
      <w:pPr>
        <w:spacing w:line="360" w:lineRule="auto"/>
        <w:ind w:left="720" w:right="720" w:firstLine="0"/>
        <w:jc w:val="both"/>
        <w:rPr>
          <w:sz w:val="24"/>
          <w:szCs w:val="24"/>
        </w:rPr>
      </w:pPr>
      <w:r w:rsidRPr="00352B5A">
        <w:rPr>
          <w:sz w:val="24"/>
          <w:szCs w:val="24"/>
        </w:rPr>
        <w:t>(iv) Witnesses may be utilized to authenticate or explain evidence which is otherwise admissible pursuant to the provisions of this Subsection. Nothing in this Item shall be construed to limit otherwise admissible witness testimony evidence.</w:t>
      </w:r>
    </w:p>
    <w:p w14:paraId="7501028B" w14:textId="2B315180" w:rsidR="00370585" w:rsidRPr="00352B5A" w:rsidRDefault="00370585" w:rsidP="00BA35F1">
      <w:pPr>
        <w:spacing w:line="360" w:lineRule="auto"/>
        <w:ind w:left="720" w:right="720" w:firstLine="0"/>
        <w:jc w:val="both"/>
        <w:rPr>
          <w:sz w:val="24"/>
          <w:szCs w:val="24"/>
        </w:rPr>
      </w:pPr>
      <w:r w:rsidRPr="00352B5A">
        <w:rPr>
          <w:sz w:val="24"/>
          <w:szCs w:val="24"/>
        </w:rPr>
        <w:t>(v) For purposes of this Subparagraph, the phrase “otherwise admissible” shall mean evidence admissible pursuant to any provision of this Subsection and admissible pursuant to relevant provisions of the Administrative Procedure Act and Code of Evidence.</w:t>
      </w:r>
    </w:p>
    <w:p w14:paraId="14A74C5E" w14:textId="758C8759" w:rsidR="00370585" w:rsidRPr="00352B5A" w:rsidRDefault="00370585" w:rsidP="00BA35F1">
      <w:pPr>
        <w:spacing w:line="360" w:lineRule="auto"/>
        <w:ind w:left="720" w:right="720" w:firstLine="0"/>
        <w:jc w:val="both"/>
        <w:rPr>
          <w:sz w:val="24"/>
          <w:szCs w:val="24"/>
        </w:rPr>
      </w:pPr>
      <w:r w:rsidRPr="00352B5A">
        <w:rPr>
          <w:sz w:val="24"/>
          <w:szCs w:val="24"/>
        </w:rPr>
        <w:t>(vi) Nothing in this Subparagraph shall be construed to limit any of the following otherwise admissible data, guides, and resources that are publicly accessible:</w:t>
      </w:r>
    </w:p>
    <w:p w14:paraId="5AE7AB69" w14:textId="61EA535A" w:rsidR="00370585" w:rsidRPr="00352B5A" w:rsidRDefault="00370585" w:rsidP="00BA35F1">
      <w:pPr>
        <w:spacing w:line="360" w:lineRule="auto"/>
        <w:ind w:left="720" w:right="720" w:firstLine="0"/>
        <w:jc w:val="both"/>
        <w:rPr>
          <w:sz w:val="24"/>
          <w:szCs w:val="24"/>
        </w:rPr>
      </w:pPr>
      <w:r w:rsidRPr="00352B5A">
        <w:rPr>
          <w:sz w:val="24"/>
          <w:szCs w:val="24"/>
        </w:rPr>
        <w:t>(aa) Aerial or other photography.</w:t>
      </w:r>
    </w:p>
    <w:p w14:paraId="3194B0AF" w14:textId="4050416A" w:rsidR="00370585" w:rsidRPr="00352B5A" w:rsidRDefault="00370585" w:rsidP="00BA35F1">
      <w:pPr>
        <w:spacing w:line="360" w:lineRule="auto"/>
        <w:ind w:left="720" w:right="720" w:firstLine="0"/>
        <w:jc w:val="both"/>
        <w:rPr>
          <w:sz w:val="24"/>
          <w:szCs w:val="24"/>
        </w:rPr>
      </w:pPr>
      <w:r w:rsidRPr="00352B5A">
        <w:rPr>
          <w:sz w:val="24"/>
          <w:szCs w:val="24"/>
        </w:rPr>
        <w:t>(bb) Public records of clerks of court or other political subdivisions in the parish of the assessment, including but not limited to building permits, conveyance records, city directories, occupancy permits, or demolition permits.</w:t>
      </w:r>
    </w:p>
    <w:p w14:paraId="483951E8" w14:textId="06DF51C2" w:rsidR="00370585" w:rsidRPr="00352B5A" w:rsidRDefault="00370585" w:rsidP="00BA35F1">
      <w:pPr>
        <w:spacing w:line="360" w:lineRule="auto"/>
        <w:ind w:left="720" w:right="720" w:firstLine="0"/>
        <w:jc w:val="both"/>
        <w:rPr>
          <w:sz w:val="24"/>
          <w:szCs w:val="24"/>
        </w:rPr>
      </w:pPr>
      <w:r w:rsidRPr="00352B5A">
        <w:rPr>
          <w:sz w:val="24"/>
          <w:szCs w:val="24"/>
        </w:rPr>
        <w:t>(cc) Public records of the Department of Conservation and Energy including but not limited to data from the Strategic Online Natural Resource Information System (SONRIS).</w:t>
      </w:r>
    </w:p>
    <w:p w14:paraId="7F2CD220" w14:textId="2015FEDE" w:rsidR="00370585" w:rsidRPr="00352B5A" w:rsidRDefault="00370585" w:rsidP="00BA35F1">
      <w:pPr>
        <w:spacing w:line="360" w:lineRule="auto"/>
        <w:ind w:left="720" w:right="720" w:firstLine="0"/>
        <w:jc w:val="both"/>
        <w:rPr>
          <w:sz w:val="24"/>
          <w:szCs w:val="24"/>
        </w:rPr>
      </w:pPr>
      <w:r w:rsidRPr="00352B5A">
        <w:rPr>
          <w:sz w:val="24"/>
          <w:szCs w:val="24"/>
        </w:rPr>
        <w:t>(dd) Sales data including but not limited to multiple listing service reports.</w:t>
      </w:r>
    </w:p>
    <w:p w14:paraId="30965F14" w14:textId="28C4C713" w:rsidR="00370585" w:rsidRPr="00352B5A" w:rsidRDefault="00370585" w:rsidP="00BA35F1">
      <w:pPr>
        <w:spacing w:line="360" w:lineRule="auto"/>
        <w:ind w:left="720" w:right="720" w:firstLine="0"/>
        <w:jc w:val="both"/>
        <w:rPr>
          <w:sz w:val="24"/>
          <w:szCs w:val="24"/>
        </w:rPr>
      </w:pPr>
      <w:r w:rsidRPr="00352B5A">
        <w:rPr>
          <w:sz w:val="24"/>
          <w:szCs w:val="24"/>
        </w:rPr>
        <w:t>(ee) Published cost data or cost guides and their related sources.</w:t>
      </w:r>
    </w:p>
    <w:p w14:paraId="543F54DC" w14:textId="697C769E" w:rsidR="00370585" w:rsidRPr="00352B5A" w:rsidRDefault="00370585" w:rsidP="00BA35F1">
      <w:pPr>
        <w:spacing w:line="360" w:lineRule="auto"/>
        <w:ind w:left="720" w:right="720" w:firstLine="0"/>
        <w:jc w:val="both"/>
        <w:rPr>
          <w:sz w:val="24"/>
          <w:szCs w:val="24"/>
        </w:rPr>
      </w:pPr>
      <w:r w:rsidRPr="00352B5A">
        <w:rPr>
          <w:sz w:val="24"/>
          <w:szCs w:val="24"/>
        </w:rPr>
        <w:t>(ff) Rules, advisories, or guidance promulgated by the Louisiana Tax Commission.</w:t>
      </w:r>
    </w:p>
    <w:p w14:paraId="5D1B8E48" w14:textId="406478D6" w:rsidR="00370585" w:rsidRPr="00352B5A" w:rsidRDefault="00370585" w:rsidP="00BA35F1">
      <w:pPr>
        <w:spacing w:line="360" w:lineRule="auto"/>
        <w:ind w:left="720" w:right="720" w:firstLine="0"/>
        <w:jc w:val="both"/>
        <w:rPr>
          <w:sz w:val="24"/>
          <w:szCs w:val="24"/>
        </w:rPr>
      </w:pPr>
      <w:r w:rsidRPr="00352B5A">
        <w:rPr>
          <w:sz w:val="24"/>
          <w:szCs w:val="24"/>
        </w:rPr>
        <w:t xml:space="preserve">(b) A decision of the Louisiana Tax Commission to deny a taxpayer’s application to present additional evidence pursuant to Subparagraph (a) of this Paragraph shall, at the option of the taxpayer, be considered a final determination for purposes of appeal as provided for in R.S. 47:1998 to be decided by preference and priority within twenty-one days and thereafter be subject to review by priority in the same manner as a </w:t>
      </w:r>
      <w:proofErr w:type="spellStart"/>
      <w:r w:rsidRPr="00352B5A">
        <w:rPr>
          <w:sz w:val="24"/>
          <w:szCs w:val="24"/>
        </w:rPr>
        <w:t>nonappealable</w:t>
      </w:r>
      <w:proofErr w:type="spellEnd"/>
      <w:r w:rsidRPr="00352B5A">
        <w:rPr>
          <w:sz w:val="24"/>
          <w:szCs w:val="24"/>
        </w:rPr>
        <w:t xml:space="preserve"> interlocutory judgment, or be subject to immediate review by application for supervisory writ in the same manner as provided for in Rule 4 of the Uniform Rules of Louisiana Courts of Appeal. Except as ordered by a court of appeal, no stay of the proceedings before the Louisiana Tax Commission may be issued pursuant to an action pursuant to this Subparagraph. This Subparagraph shall not apply to an application to present additional evidence not timely filed pursuant to the rules of the Louisiana Tax Commission.</w:t>
      </w:r>
    </w:p>
    <w:p w14:paraId="5D8A0E3C" w14:textId="01C0114D" w:rsidR="00370585" w:rsidRPr="00352B5A" w:rsidRDefault="00370585" w:rsidP="00BA35F1">
      <w:pPr>
        <w:spacing w:line="360" w:lineRule="auto"/>
        <w:ind w:left="720" w:right="720" w:firstLine="0"/>
        <w:jc w:val="both"/>
        <w:rPr>
          <w:sz w:val="24"/>
          <w:szCs w:val="24"/>
        </w:rPr>
      </w:pPr>
      <w:r w:rsidRPr="00352B5A">
        <w:rPr>
          <w:sz w:val="24"/>
          <w:szCs w:val="24"/>
        </w:rPr>
        <w:t>(c) Notwithstanding the provisions of Subparagraph (a) of this Paragraph, in an appeal of the correctness of an assessment of real property, the Louisiana Tax Commission may independently appraise the property utilizing the criteria set forth in R.S. 47:2323 and may enter that appraisal into evidence for consideration on review of the correctness of the assessment.</w:t>
      </w:r>
    </w:p>
    <w:p w14:paraId="7F129F62" w14:textId="66DF8A2D" w:rsidR="00370585" w:rsidRPr="00352B5A" w:rsidRDefault="00370585" w:rsidP="00BA35F1">
      <w:pPr>
        <w:spacing w:line="360" w:lineRule="auto"/>
        <w:ind w:left="720" w:right="720" w:firstLine="0"/>
        <w:jc w:val="both"/>
        <w:rPr>
          <w:sz w:val="24"/>
          <w:szCs w:val="24"/>
        </w:rPr>
      </w:pPr>
      <w:r w:rsidRPr="00352B5A">
        <w:rPr>
          <w:sz w:val="24"/>
          <w:szCs w:val="24"/>
        </w:rPr>
        <w:t>(d) The Louisiana Tax Commission may promulgate rules related to the disclosure of evidence to the opposing party and the consideration of evidentiary disputes, and no provision of this Paragraph shall extend any deadline beyond the date that would be applicable pursuant to Louisiana Tax Commission rules.</w:t>
      </w:r>
    </w:p>
    <w:p w14:paraId="37780C19" w14:textId="1BB75901" w:rsidR="00370585" w:rsidRPr="00352B5A" w:rsidRDefault="00370585" w:rsidP="00BA35F1">
      <w:pPr>
        <w:spacing w:line="360" w:lineRule="auto"/>
        <w:ind w:left="720" w:right="720" w:firstLine="0"/>
        <w:jc w:val="both"/>
        <w:rPr>
          <w:sz w:val="24"/>
          <w:szCs w:val="24"/>
        </w:rPr>
      </w:pPr>
      <w:r w:rsidRPr="00352B5A">
        <w:rPr>
          <w:sz w:val="24"/>
          <w:szCs w:val="24"/>
        </w:rPr>
        <w:t>(3) The Louisiana Tax Commission may affirm the correctness of the assessment, it may remand the matter for further consideration by the assessor, or it may reverse or modify the assessment because the assessment is any of the following:</w:t>
      </w:r>
    </w:p>
    <w:p w14:paraId="09B0EA3A" w14:textId="25D57C58" w:rsidR="00370585" w:rsidRPr="00352B5A" w:rsidRDefault="00370585" w:rsidP="00BA35F1">
      <w:pPr>
        <w:spacing w:line="360" w:lineRule="auto"/>
        <w:ind w:left="720" w:right="720" w:firstLine="0"/>
        <w:jc w:val="both"/>
        <w:rPr>
          <w:sz w:val="24"/>
          <w:szCs w:val="24"/>
        </w:rPr>
      </w:pPr>
      <w:r w:rsidRPr="00352B5A">
        <w:rPr>
          <w:sz w:val="24"/>
          <w:szCs w:val="24"/>
        </w:rPr>
        <w:t>(a) In violation of constitutional or statutory provisions.</w:t>
      </w:r>
    </w:p>
    <w:p w14:paraId="6F7CA29A" w14:textId="0A101330" w:rsidR="00370585" w:rsidRPr="00352B5A" w:rsidRDefault="00370585" w:rsidP="00BA35F1">
      <w:pPr>
        <w:spacing w:line="360" w:lineRule="auto"/>
        <w:ind w:left="720" w:right="720" w:firstLine="0"/>
        <w:jc w:val="both"/>
        <w:rPr>
          <w:sz w:val="24"/>
          <w:szCs w:val="24"/>
        </w:rPr>
      </w:pPr>
      <w:r w:rsidRPr="00352B5A">
        <w:rPr>
          <w:sz w:val="24"/>
          <w:szCs w:val="24"/>
        </w:rPr>
        <w:t>(b) In excess of the authority of the assessor.</w:t>
      </w:r>
    </w:p>
    <w:p w14:paraId="3D4491D9" w14:textId="25BCDC66" w:rsidR="00370585" w:rsidRPr="00352B5A" w:rsidRDefault="00370585" w:rsidP="00BA35F1">
      <w:pPr>
        <w:spacing w:line="360" w:lineRule="auto"/>
        <w:ind w:left="720" w:right="720" w:firstLine="0"/>
        <w:jc w:val="both"/>
        <w:rPr>
          <w:sz w:val="24"/>
          <w:szCs w:val="24"/>
        </w:rPr>
      </w:pPr>
      <w:r w:rsidRPr="00352B5A">
        <w:rPr>
          <w:sz w:val="24"/>
          <w:szCs w:val="24"/>
        </w:rPr>
        <w:t>(c) Made upon an unlawful procedure.</w:t>
      </w:r>
    </w:p>
    <w:p w14:paraId="1D760E4F" w14:textId="5960053A" w:rsidR="00370585" w:rsidRPr="00352B5A" w:rsidRDefault="00370585" w:rsidP="00BA35F1">
      <w:pPr>
        <w:spacing w:line="360" w:lineRule="auto"/>
        <w:ind w:left="720" w:right="720" w:firstLine="0"/>
        <w:jc w:val="both"/>
        <w:rPr>
          <w:sz w:val="24"/>
          <w:szCs w:val="24"/>
        </w:rPr>
      </w:pPr>
      <w:r w:rsidRPr="00352B5A">
        <w:rPr>
          <w:sz w:val="24"/>
          <w:szCs w:val="24"/>
        </w:rPr>
        <w:t>(d) Affected by another error of law.</w:t>
      </w:r>
    </w:p>
    <w:p w14:paraId="54BFC1AA" w14:textId="52BC5D4F" w:rsidR="00370585" w:rsidRPr="00352B5A" w:rsidRDefault="00370585" w:rsidP="00BA35F1">
      <w:pPr>
        <w:spacing w:line="360" w:lineRule="auto"/>
        <w:ind w:left="720" w:right="720" w:firstLine="0"/>
        <w:jc w:val="both"/>
        <w:rPr>
          <w:sz w:val="24"/>
          <w:szCs w:val="24"/>
        </w:rPr>
      </w:pPr>
      <w:r w:rsidRPr="00352B5A">
        <w:rPr>
          <w:sz w:val="24"/>
          <w:szCs w:val="24"/>
        </w:rPr>
        <w:t>(e) Arbitrary or capricious or characterized by abuse of discretion or clearly unwarranted exercise of discretion.</w:t>
      </w:r>
    </w:p>
    <w:p w14:paraId="183B6B91" w14:textId="5B757311" w:rsidR="00370585" w:rsidRPr="00352B5A" w:rsidRDefault="00370585" w:rsidP="00BA35F1">
      <w:pPr>
        <w:pStyle w:val="FootnoteText"/>
        <w:spacing w:line="360" w:lineRule="auto"/>
        <w:ind w:left="720" w:right="720" w:firstLine="0"/>
        <w:jc w:val="both"/>
        <w:rPr>
          <w:sz w:val="24"/>
          <w:szCs w:val="24"/>
        </w:rPr>
      </w:pPr>
      <w:r w:rsidRPr="00352B5A">
        <w:rPr>
          <w:sz w:val="24"/>
          <w:szCs w:val="24"/>
        </w:rPr>
        <w:t>(f) Not supported and sustainable by a preponderance of evidence as determined by the Louisiana Tax Commission. If the Louisiana Tax Commission finds that an assessment is not supported and sustainable by a preponderance of evidence, the Louisiana Tax Commission shall make its own determination and conclusions of fact by a preponderance of evidence based upon its own evaluation of the record evidence reviewed in its entirety including otherwise admissible first-hand witness testimony.</w:t>
      </w:r>
    </w:p>
  </w:footnote>
  <w:footnote w:id="19">
    <w:p w14:paraId="7BA20CDF" w14:textId="07B8E493" w:rsidR="00E8406D" w:rsidRPr="00352B5A" w:rsidRDefault="00E8406D"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w:t>
      </w:r>
      <w:r w:rsidRPr="00352B5A">
        <w:rPr>
          <w:i/>
          <w:iCs/>
          <w:sz w:val="24"/>
          <w:szCs w:val="24"/>
        </w:rPr>
        <w:t>Id.</w:t>
      </w:r>
      <w:r w:rsidRPr="00352B5A">
        <w:rPr>
          <w:sz w:val="24"/>
          <w:szCs w:val="24"/>
        </w:rPr>
        <w:t xml:space="preserve"> at 1080.</w:t>
      </w:r>
    </w:p>
  </w:footnote>
  <w:footnote w:id="20">
    <w:p w14:paraId="49A127C4" w14:textId="78CA6606" w:rsidR="006E02A9" w:rsidRPr="00352B5A" w:rsidRDefault="006E02A9"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w:t>
      </w:r>
      <w:r w:rsidRPr="00352B5A">
        <w:rPr>
          <w:i/>
          <w:iCs/>
          <w:sz w:val="24"/>
          <w:szCs w:val="24"/>
        </w:rPr>
        <w:t>Id.</w:t>
      </w:r>
      <w:r w:rsidRPr="00352B5A">
        <w:rPr>
          <w:sz w:val="24"/>
          <w:szCs w:val="24"/>
        </w:rPr>
        <w:t xml:space="preserve"> at 49.</w:t>
      </w:r>
    </w:p>
  </w:footnote>
  <w:footnote w:id="21">
    <w:p w14:paraId="609FE4F9" w14:textId="1BE69AB9" w:rsidR="00393B58" w:rsidRPr="00352B5A" w:rsidRDefault="00393B58" w:rsidP="00FE71F3">
      <w:pPr>
        <w:pStyle w:val="FootnoteText"/>
        <w:spacing w:line="480" w:lineRule="auto"/>
        <w:rPr>
          <w:sz w:val="24"/>
          <w:szCs w:val="24"/>
        </w:rPr>
      </w:pPr>
      <w:r w:rsidRPr="00352B5A">
        <w:rPr>
          <w:rStyle w:val="FootnoteReference"/>
          <w:sz w:val="24"/>
          <w:szCs w:val="24"/>
        </w:rPr>
        <w:footnoteRef/>
      </w:r>
      <w:r w:rsidRPr="00352B5A">
        <w:rPr>
          <w:sz w:val="24"/>
          <w:szCs w:val="24"/>
        </w:rPr>
        <w:t xml:space="preserve"> </w:t>
      </w:r>
      <w:r w:rsidR="005B67A0" w:rsidRPr="00352B5A">
        <w:rPr>
          <w:sz w:val="24"/>
          <w:szCs w:val="24"/>
        </w:rPr>
        <w:t xml:space="preserve">Application of the service factor was described by the </w:t>
      </w:r>
      <w:r w:rsidR="00370585" w:rsidRPr="00352B5A">
        <w:rPr>
          <w:sz w:val="24"/>
          <w:szCs w:val="24"/>
        </w:rPr>
        <w:t>c</w:t>
      </w:r>
      <w:r w:rsidRPr="00352B5A">
        <w:rPr>
          <w:sz w:val="24"/>
          <w:szCs w:val="24"/>
        </w:rPr>
        <w:t xml:space="preserve">ourt in </w:t>
      </w:r>
      <w:r w:rsidRPr="00352B5A">
        <w:rPr>
          <w:i/>
          <w:iCs/>
          <w:sz w:val="24"/>
          <w:szCs w:val="24"/>
        </w:rPr>
        <w:t xml:space="preserve">Bailey v. </w:t>
      </w:r>
      <w:proofErr w:type="spellStart"/>
      <w:r w:rsidRPr="00352B5A">
        <w:rPr>
          <w:i/>
          <w:iCs/>
          <w:sz w:val="24"/>
          <w:szCs w:val="24"/>
        </w:rPr>
        <w:t>Enervest</w:t>
      </w:r>
      <w:proofErr w:type="spellEnd"/>
      <w:r w:rsidRPr="00352B5A">
        <w:rPr>
          <w:i/>
          <w:iCs/>
          <w:sz w:val="24"/>
          <w:szCs w:val="24"/>
        </w:rPr>
        <w:t xml:space="preserve"> Operating Co., LLC</w:t>
      </w:r>
      <w:r w:rsidRPr="00352B5A">
        <w:rPr>
          <w:sz w:val="24"/>
          <w:szCs w:val="24"/>
        </w:rPr>
        <w:t>, 45,553 (La. App. 2 Cir. 6/30/10), 43 So.3d 1046,</w:t>
      </w:r>
      <w:r w:rsidR="005B67A0" w:rsidRPr="00352B5A">
        <w:rPr>
          <w:sz w:val="24"/>
          <w:szCs w:val="24"/>
        </w:rPr>
        <w:t xml:space="preserve"> which stated that</w:t>
      </w:r>
      <w:r w:rsidRPr="00352B5A">
        <w:rPr>
          <w:sz w:val="24"/>
          <w:szCs w:val="24"/>
        </w:rPr>
        <w:t xml:space="preserve"> </w:t>
      </w:r>
      <w:r w:rsidR="005B67A0" w:rsidRPr="00352B5A">
        <w:rPr>
          <w:sz w:val="24"/>
          <w:szCs w:val="24"/>
        </w:rPr>
        <w:t xml:space="preserve">the </w:t>
      </w:r>
      <w:r w:rsidR="00DF5B0A" w:rsidRPr="00352B5A">
        <w:rPr>
          <w:sz w:val="24"/>
          <w:szCs w:val="24"/>
        </w:rPr>
        <w:t>“</w:t>
      </w:r>
      <w:r w:rsidRPr="00352B5A">
        <w:rPr>
          <w:sz w:val="24"/>
          <w:szCs w:val="24"/>
        </w:rPr>
        <w:t xml:space="preserve">service factor is calculated using the following formula: Service Factor = (Actual Throughput/Rated capacity), which is then multiplied by the exponent </w:t>
      </w:r>
      <w:r w:rsidR="00DF5B0A" w:rsidRPr="00352B5A">
        <w:rPr>
          <w:sz w:val="24"/>
          <w:szCs w:val="24"/>
        </w:rPr>
        <w:t>‘</w:t>
      </w:r>
      <w:r w:rsidRPr="00352B5A">
        <w:rPr>
          <w:sz w:val="24"/>
          <w:szCs w:val="24"/>
        </w:rPr>
        <w:t>0.6.</w:t>
      </w:r>
      <w:r w:rsidR="00DF5B0A" w:rsidRPr="00352B5A">
        <w:rPr>
          <w:sz w:val="24"/>
          <w:szCs w:val="24"/>
        </w:rPr>
        <w:t>’</w:t>
      </w:r>
      <w:r w:rsidRPr="00352B5A">
        <w:rPr>
          <w:sz w:val="24"/>
          <w:szCs w:val="24"/>
        </w:rPr>
        <w:t xml:space="preserve"> The service factor is applied to a conversion chart set forth in Subsection G to determine the amount of economic obsolescence that may be applied.</w:t>
      </w:r>
      <w:r w:rsidR="00DF5B0A" w:rsidRPr="00352B5A">
        <w:rPr>
          <w:sz w:val="24"/>
          <w:szCs w:val="24"/>
        </w:rPr>
        <w:t>”</w:t>
      </w:r>
      <w:r w:rsidR="005B67A0" w:rsidRPr="00352B5A">
        <w:rPr>
          <w:sz w:val="24"/>
          <w:szCs w:val="24"/>
        </w:rPr>
        <w:t xml:space="preserve"> </w:t>
      </w:r>
      <w:r w:rsidR="005B67A0" w:rsidRPr="00352B5A">
        <w:rPr>
          <w:i/>
          <w:iCs/>
          <w:sz w:val="24"/>
          <w:szCs w:val="24"/>
        </w:rPr>
        <w:t>Id.</w:t>
      </w:r>
      <w:r w:rsidR="005B67A0" w:rsidRPr="00352B5A">
        <w:rPr>
          <w:sz w:val="24"/>
          <w:szCs w:val="24"/>
        </w:rPr>
        <w:t xml:space="preserve"> at </w:t>
      </w:r>
      <w:r w:rsidRPr="00352B5A">
        <w:rPr>
          <w:sz w:val="24"/>
          <w:szCs w:val="24"/>
        </w:rPr>
        <w:t>1055</w:t>
      </w:r>
      <w:r w:rsidR="005B67A0" w:rsidRPr="00352B5A">
        <w:rPr>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53"/>
    <w:rsid w:val="00014125"/>
    <w:rsid w:val="000238D3"/>
    <w:rsid w:val="00034795"/>
    <w:rsid w:val="00053434"/>
    <w:rsid w:val="00053AC8"/>
    <w:rsid w:val="000656D2"/>
    <w:rsid w:val="000751E7"/>
    <w:rsid w:val="00080B83"/>
    <w:rsid w:val="000B337A"/>
    <w:rsid w:val="000B7B44"/>
    <w:rsid w:val="000C04B7"/>
    <w:rsid w:val="000E480F"/>
    <w:rsid w:val="000F5336"/>
    <w:rsid w:val="00105346"/>
    <w:rsid w:val="0011795E"/>
    <w:rsid w:val="0012733B"/>
    <w:rsid w:val="001425E6"/>
    <w:rsid w:val="001666D1"/>
    <w:rsid w:val="00177B95"/>
    <w:rsid w:val="0018780F"/>
    <w:rsid w:val="00193FD1"/>
    <w:rsid w:val="001A2999"/>
    <w:rsid w:val="001A7C97"/>
    <w:rsid w:val="001D14DB"/>
    <w:rsid w:val="00222553"/>
    <w:rsid w:val="002264F8"/>
    <w:rsid w:val="002276E7"/>
    <w:rsid w:val="002350F8"/>
    <w:rsid w:val="00245851"/>
    <w:rsid w:val="00247D41"/>
    <w:rsid w:val="002578A3"/>
    <w:rsid w:val="00271D57"/>
    <w:rsid w:val="0027664D"/>
    <w:rsid w:val="0028771F"/>
    <w:rsid w:val="002A1688"/>
    <w:rsid w:val="002B59E9"/>
    <w:rsid w:val="002C18B0"/>
    <w:rsid w:val="002E7CA1"/>
    <w:rsid w:val="002F7E5B"/>
    <w:rsid w:val="0030545D"/>
    <w:rsid w:val="003074C4"/>
    <w:rsid w:val="00335D53"/>
    <w:rsid w:val="00352B5A"/>
    <w:rsid w:val="00364B33"/>
    <w:rsid w:val="00370585"/>
    <w:rsid w:val="0037689B"/>
    <w:rsid w:val="00393B58"/>
    <w:rsid w:val="003B1688"/>
    <w:rsid w:val="003B3BCF"/>
    <w:rsid w:val="003C2CC8"/>
    <w:rsid w:val="003C33F8"/>
    <w:rsid w:val="003E1AEF"/>
    <w:rsid w:val="003E7C11"/>
    <w:rsid w:val="004004D4"/>
    <w:rsid w:val="0042211A"/>
    <w:rsid w:val="004337D7"/>
    <w:rsid w:val="00435077"/>
    <w:rsid w:val="0044095B"/>
    <w:rsid w:val="00446A2A"/>
    <w:rsid w:val="004828F6"/>
    <w:rsid w:val="0048543B"/>
    <w:rsid w:val="00495BDF"/>
    <w:rsid w:val="004A4F37"/>
    <w:rsid w:val="004A7F36"/>
    <w:rsid w:val="004C7D19"/>
    <w:rsid w:val="004D4DEA"/>
    <w:rsid w:val="004D5F09"/>
    <w:rsid w:val="004E737F"/>
    <w:rsid w:val="00500E43"/>
    <w:rsid w:val="00501D80"/>
    <w:rsid w:val="005108DF"/>
    <w:rsid w:val="00531874"/>
    <w:rsid w:val="00532EAD"/>
    <w:rsid w:val="00533BEE"/>
    <w:rsid w:val="00541A67"/>
    <w:rsid w:val="005547D8"/>
    <w:rsid w:val="00554E9B"/>
    <w:rsid w:val="0055678A"/>
    <w:rsid w:val="00556830"/>
    <w:rsid w:val="00565A21"/>
    <w:rsid w:val="005878D4"/>
    <w:rsid w:val="00591CFC"/>
    <w:rsid w:val="005B2CD6"/>
    <w:rsid w:val="005B67A0"/>
    <w:rsid w:val="005D02AA"/>
    <w:rsid w:val="005F711D"/>
    <w:rsid w:val="0060053A"/>
    <w:rsid w:val="00646250"/>
    <w:rsid w:val="00672FCD"/>
    <w:rsid w:val="006958BF"/>
    <w:rsid w:val="006A506D"/>
    <w:rsid w:val="006D3BE5"/>
    <w:rsid w:val="006E02A9"/>
    <w:rsid w:val="00706F93"/>
    <w:rsid w:val="00710C74"/>
    <w:rsid w:val="007213AE"/>
    <w:rsid w:val="0072216B"/>
    <w:rsid w:val="00723BDE"/>
    <w:rsid w:val="0072664C"/>
    <w:rsid w:val="00736BA2"/>
    <w:rsid w:val="00781206"/>
    <w:rsid w:val="007C238E"/>
    <w:rsid w:val="007C2530"/>
    <w:rsid w:val="007C56E3"/>
    <w:rsid w:val="007D1F17"/>
    <w:rsid w:val="007D4158"/>
    <w:rsid w:val="007D6212"/>
    <w:rsid w:val="007F06A5"/>
    <w:rsid w:val="007F449E"/>
    <w:rsid w:val="00804B3D"/>
    <w:rsid w:val="00826394"/>
    <w:rsid w:val="00827000"/>
    <w:rsid w:val="00830DA3"/>
    <w:rsid w:val="0086640C"/>
    <w:rsid w:val="008810A5"/>
    <w:rsid w:val="00894A75"/>
    <w:rsid w:val="008A2F92"/>
    <w:rsid w:val="008B1454"/>
    <w:rsid w:val="008C2CAA"/>
    <w:rsid w:val="0090544B"/>
    <w:rsid w:val="00933ACE"/>
    <w:rsid w:val="00945674"/>
    <w:rsid w:val="0095504D"/>
    <w:rsid w:val="009564BA"/>
    <w:rsid w:val="00961038"/>
    <w:rsid w:val="009659A2"/>
    <w:rsid w:val="009732B0"/>
    <w:rsid w:val="009741B7"/>
    <w:rsid w:val="009B4CB7"/>
    <w:rsid w:val="009F6F95"/>
    <w:rsid w:val="00A04619"/>
    <w:rsid w:val="00A24F0E"/>
    <w:rsid w:val="00A3751C"/>
    <w:rsid w:val="00A41E9B"/>
    <w:rsid w:val="00A43290"/>
    <w:rsid w:val="00A47FF2"/>
    <w:rsid w:val="00A6524E"/>
    <w:rsid w:val="00A7059D"/>
    <w:rsid w:val="00A81951"/>
    <w:rsid w:val="00A81D9B"/>
    <w:rsid w:val="00AE384B"/>
    <w:rsid w:val="00AF0568"/>
    <w:rsid w:val="00B027E2"/>
    <w:rsid w:val="00B10A3E"/>
    <w:rsid w:val="00B14613"/>
    <w:rsid w:val="00B50331"/>
    <w:rsid w:val="00B525A7"/>
    <w:rsid w:val="00B72583"/>
    <w:rsid w:val="00B72AC2"/>
    <w:rsid w:val="00B91BA9"/>
    <w:rsid w:val="00BA34B4"/>
    <w:rsid w:val="00BA35F1"/>
    <w:rsid w:val="00BB0B8A"/>
    <w:rsid w:val="00BE10FC"/>
    <w:rsid w:val="00BE1B59"/>
    <w:rsid w:val="00C13BC7"/>
    <w:rsid w:val="00C267D7"/>
    <w:rsid w:val="00C43FC6"/>
    <w:rsid w:val="00C44046"/>
    <w:rsid w:val="00C627B5"/>
    <w:rsid w:val="00C63546"/>
    <w:rsid w:val="00C651B3"/>
    <w:rsid w:val="00C72483"/>
    <w:rsid w:val="00C738FF"/>
    <w:rsid w:val="00C828EB"/>
    <w:rsid w:val="00C85631"/>
    <w:rsid w:val="00C92CBB"/>
    <w:rsid w:val="00C97C52"/>
    <w:rsid w:val="00CA1B87"/>
    <w:rsid w:val="00CA5D0A"/>
    <w:rsid w:val="00CB3BFD"/>
    <w:rsid w:val="00CC04F7"/>
    <w:rsid w:val="00CD3579"/>
    <w:rsid w:val="00CE1839"/>
    <w:rsid w:val="00CE5B5C"/>
    <w:rsid w:val="00CF7C10"/>
    <w:rsid w:val="00D03077"/>
    <w:rsid w:val="00D358C2"/>
    <w:rsid w:val="00D35996"/>
    <w:rsid w:val="00D636E3"/>
    <w:rsid w:val="00D82CA6"/>
    <w:rsid w:val="00D90268"/>
    <w:rsid w:val="00D96913"/>
    <w:rsid w:val="00DA3AF7"/>
    <w:rsid w:val="00DC6963"/>
    <w:rsid w:val="00DE54C8"/>
    <w:rsid w:val="00DF0F02"/>
    <w:rsid w:val="00DF5B0A"/>
    <w:rsid w:val="00E00A03"/>
    <w:rsid w:val="00E25859"/>
    <w:rsid w:val="00E41D80"/>
    <w:rsid w:val="00E60E4C"/>
    <w:rsid w:val="00E6677F"/>
    <w:rsid w:val="00E8406D"/>
    <w:rsid w:val="00E86FB8"/>
    <w:rsid w:val="00EA686D"/>
    <w:rsid w:val="00EC0809"/>
    <w:rsid w:val="00EC5F31"/>
    <w:rsid w:val="00ED437E"/>
    <w:rsid w:val="00ED4E6A"/>
    <w:rsid w:val="00ED541B"/>
    <w:rsid w:val="00ED5A33"/>
    <w:rsid w:val="00EF27BB"/>
    <w:rsid w:val="00EF3784"/>
    <w:rsid w:val="00EF4E2B"/>
    <w:rsid w:val="00EF7AFE"/>
    <w:rsid w:val="00F1000F"/>
    <w:rsid w:val="00F1526F"/>
    <w:rsid w:val="00F229B5"/>
    <w:rsid w:val="00F22EAF"/>
    <w:rsid w:val="00F26D20"/>
    <w:rsid w:val="00F64249"/>
    <w:rsid w:val="00F75806"/>
    <w:rsid w:val="00FA71CA"/>
    <w:rsid w:val="00FC3A84"/>
    <w:rsid w:val="00FE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33A6"/>
  <w15:chartTrackingRefBased/>
  <w15:docId w15:val="{FB619783-BB6C-44C3-8A41-3B20CE40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F3"/>
    <w:pPr>
      <w:spacing w:after="240" w:line="480" w:lineRule="auto"/>
      <w:ind w:firstLine="720"/>
    </w:pPr>
    <w:rPr>
      <w:rFonts w:ascii="Arial" w:hAnsi="Arial" w:cs="Arial"/>
      <w:sz w:val="28"/>
      <w:szCs w:val="28"/>
    </w:rPr>
  </w:style>
  <w:style w:type="paragraph" w:styleId="Heading1">
    <w:name w:val="heading 1"/>
    <w:basedOn w:val="Title"/>
    <w:next w:val="Normal"/>
    <w:link w:val="Heading1Char"/>
    <w:uiPriority w:val="9"/>
    <w:qFormat/>
    <w:rsid w:val="00FE71F3"/>
    <w:pPr>
      <w:spacing w:line="480" w:lineRule="auto"/>
      <w:jc w:val="left"/>
      <w:outlineLvl w:val="0"/>
    </w:pPr>
  </w:style>
  <w:style w:type="paragraph" w:styleId="Heading2">
    <w:name w:val="heading 2"/>
    <w:basedOn w:val="Heading1"/>
    <w:next w:val="Normal"/>
    <w:link w:val="Heading2Char"/>
    <w:uiPriority w:val="9"/>
    <w:unhideWhenUsed/>
    <w:qFormat/>
    <w:rsid w:val="00352B5A"/>
    <w:pPr>
      <w:ind w:firstLine="720"/>
      <w:outlineLvl w:val="1"/>
    </w:pPr>
  </w:style>
  <w:style w:type="paragraph" w:styleId="Heading3">
    <w:name w:val="heading 3"/>
    <w:basedOn w:val="Heading2"/>
    <w:next w:val="Normal"/>
    <w:link w:val="Heading3Char"/>
    <w:uiPriority w:val="9"/>
    <w:unhideWhenUsed/>
    <w:qFormat/>
    <w:rsid w:val="00352B5A"/>
    <w:pPr>
      <w:outlineLvl w:val="2"/>
    </w:pPr>
  </w:style>
  <w:style w:type="paragraph" w:styleId="Heading4">
    <w:name w:val="heading 4"/>
    <w:basedOn w:val="Heading3"/>
    <w:next w:val="Normal"/>
    <w:link w:val="Heading4Char"/>
    <w:uiPriority w:val="9"/>
    <w:unhideWhenUsed/>
    <w:qFormat/>
    <w:rsid w:val="00FE71F3"/>
    <w:pPr>
      <w:outlineLvl w:val="3"/>
    </w:pPr>
  </w:style>
  <w:style w:type="paragraph" w:styleId="Heading5">
    <w:name w:val="heading 5"/>
    <w:basedOn w:val="Normal"/>
    <w:next w:val="Normal"/>
    <w:link w:val="Heading5Char"/>
    <w:uiPriority w:val="9"/>
    <w:semiHidden/>
    <w:unhideWhenUsed/>
    <w:qFormat/>
    <w:rsid w:val="00335D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35D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5D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5D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5D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1F3"/>
    <w:rPr>
      <w:rFonts w:ascii="Arial" w:hAnsi="Arial" w:cs="Arial"/>
      <w:b/>
      <w:bCs/>
      <w:sz w:val="28"/>
      <w:szCs w:val="28"/>
    </w:rPr>
  </w:style>
  <w:style w:type="character" w:customStyle="1" w:styleId="Heading2Char">
    <w:name w:val="Heading 2 Char"/>
    <w:basedOn w:val="DefaultParagraphFont"/>
    <w:link w:val="Heading2"/>
    <w:uiPriority w:val="9"/>
    <w:rsid w:val="00352B5A"/>
    <w:rPr>
      <w:rFonts w:ascii="Arial" w:hAnsi="Arial" w:cs="Arial"/>
      <w:b/>
      <w:bCs/>
      <w:sz w:val="28"/>
      <w:szCs w:val="28"/>
    </w:rPr>
  </w:style>
  <w:style w:type="paragraph" w:styleId="NoSpacing">
    <w:name w:val="No Spacing"/>
    <w:basedOn w:val="Subtitle"/>
    <w:uiPriority w:val="1"/>
    <w:qFormat/>
    <w:rsid w:val="00CE5B5C"/>
    <w:pPr>
      <w:numPr>
        <w:ilvl w:val="0"/>
      </w:numPr>
      <w:spacing w:after="0" w:line="240" w:lineRule="auto"/>
      <w:ind w:firstLine="720"/>
      <w:jc w:val="center"/>
      <w:outlineLvl w:val="1"/>
    </w:pPr>
    <w:rPr>
      <w:rFonts w:ascii="Aptos Display" w:eastAsia="Times New Roman" w:hAnsi="Aptos Display" w:cs="Times New Roman"/>
      <w:color w:val="auto"/>
      <w:spacing w:val="-5"/>
      <w:kern w:val="0"/>
      <w:sz w:val="24"/>
      <w:szCs w:val="24"/>
      <w14:ligatures w14:val="none"/>
    </w:rPr>
  </w:style>
  <w:style w:type="paragraph" w:styleId="Subtitle">
    <w:name w:val="Subtitle"/>
    <w:basedOn w:val="Normal"/>
    <w:next w:val="Normal"/>
    <w:link w:val="SubtitleChar"/>
    <w:uiPriority w:val="11"/>
    <w:qFormat/>
    <w:rsid w:val="00CE5B5C"/>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E5B5C"/>
    <w:rPr>
      <w:rFonts w:eastAsiaTheme="majorEastAsia" w:cstheme="majorBidi"/>
      <w:color w:val="595959" w:themeColor="text1" w:themeTint="A6"/>
      <w:spacing w:val="15"/>
      <w:sz w:val="28"/>
      <w:szCs w:val="28"/>
    </w:rPr>
  </w:style>
  <w:style w:type="character" w:styleId="Strong">
    <w:name w:val="Strong"/>
    <w:aliases w:val="Captions"/>
    <w:uiPriority w:val="22"/>
    <w:qFormat/>
    <w:rsid w:val="00E41D80"/>
    <w:rPr>
      <w:b/>
      <w:bCs/>
    </w:rPr>
  </w:style>
  <w:style w:type="paragraph" w:styleId="Title">
    <w:name w:val="Title"/>
    <w:basedOn w:val="Normal"/>
    <w:next w:val="Normal"/>
    <w:link w:val="TitleChar"/>
    <w:uiPriority w:val="10"/>
    <w:qFormat/>
    <w:rsid w:val="00565A21"/>
    <w:pPr>
      <w:spacing w:line="240" w:lineRule="auto"/>
      <w:ind w:firstLine="0"/>
      <w:jc w:val="center"/>
    </w:pPr>
    <w:rPr>
      <w:b/>
      <w:bCs/>
    </w:rPr>
  </w:style>
  <w:style w:type="character" w:customStyle="1" w:styleId="TitleChar">
    <w:name w:val="Title Char"/>
    <w:basedOn w:val="DefaultParagraphFont"/>
    <w:link w:val="Title"/>
    <w:uiPriority w:val="10"/>
    <w:rsid w:val="00565A21"/>
    <w:rPr>
      <w:rFonts w:ascii="Century Schoolbook" w:hAnsi="Century Schoolbook" w:cs="Times New Roman"/>
      <w:b/>
      <w:bCs/>
      <w:sz w:val="24"/>
    </w:rPr>
  </w:style>
  <w:style w:type="character" w:customStyle="1" w:styleId="Heading3Char">
    <w:name w:val="Heading 3 Char"/>
    <w:basedOn w:val="DefaultParagraphFont"/>
    <w:link w:val="Heading3"/>
    <w:uiPriority w:val="9"/>
    <w:rsid w:val="00352B5A"/>
    <w:rPr>
      <w:rFonts w:ascii="Arial" w:hAnsi="Arial" w:cs="Arial"/>
      <w:b/>
      <w:bCs/>
      <w:sz w:val="28"/>
      <w:szCs w:val="28"/>
    </w:rPr>
  </w:style>
  <w:style w:type="paragraph" w:styleId="Quote">
    <w:name w:val="Quote"/>
    <w:aliases w:val="BlockQuote"/>
    <w:basedOn w:val="Normal"/>
    <w:next w:val="Normal"/>
    <w:link w:val="QuoteChar"/>
    <w:uiPriority w:val="29"/>
    <w:qFormat/>
    <w:rsid w:val="007D4158"/>
    <w:pPr>
      <w:spacing w:line="240" w:lineRule="auto"/>
      <w:ind w:left="720" w:right="720" w:firstLine="0"/>
      <w:jc w:val="both"/>
    </w:pPr>
  </w:style>
  <w:style w:type="character" w:customStyle="1" w:styleId="QuoteChar">
    <w:name w:val="Quote Char"/>
    <w:aliases w:val="BlockQuote Char"/>
    <w:basedOn w:val="DefaultParagraphFont"/>
    <w:link w:val="Quote"/>
    <w:uiPriority w:val="29"/>
    <w:rsid w:val="007D4158"/>
    <w:rPr>
      <w:rFonts w:ascii="Arial" w:hAnsi="Arial" w:cs="Arial"/>
      <w:sz w:val="28"/>
      <w:szCs w:val="28"/>
    </w:rPr>
  </w:style>
  <w:style w:type="character" w:customStyle="1" w:styleId="Heading4Char">
    <w:name w:val="Heading 4 Char"/>
    <w:basedOn w:val="DefaultParagraphFont"/>
    <w:link w:val="Heading4"/>
    <w:uiPriority w:val="9"/>
    <w:rsid w:val="00FE71F3"/>
    <w:rPr>
      <w:rFonts w:ascii="Arial" w:hAnsi="Arial" w:cs="Arial"/>
      <w:b/>
      <w:bCs/>
      <w:sz w:val="28"/>
      <w:szCs w:val="28"/>
    </w:rPr>
  </w:style>
  <w:style w:type="character" w:customStyle="1" w:styleId="Heading5Char">
    <w:name w:val="Heading 5 Char"/>
    <w:basedOn w:val="DefaultParagraphFont"/>
    <w:link w:val="Heading5"/>
    <w:uiPriority w:val="9"/>
    <w:semiHidden/>
    <w:rsid w:val="00335D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335D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35D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35D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35D53"/>
    <w:rPr>
      <w:rFonts w:eastAsiaTheme="majorEastAsia" w:cstheme="majorBidi"/>
      <w:color w:val="272727" w:themeColor="text1" w:themeTint="D8"/>
      <w:sz w:val="24"/>
    </w:rPr>
  </w:style>
  <w:style w:type="paragraph" w:styleId="ListParagraph">
    <w:name w:val="List Paragraph"/>
    <w:basedOn w:val="Normal"/>
    <w:uiPriority w:val="34"/>
    <w:qFormat/>
    <w:rsid w:val="00335D53"/>
    <w:pPr>
      <w:ind w:left="720"/>
      <w:contextualSpacing/>
    </w:pPr>
  </w:style>
  <w:style w:type="character" w:styleId="IntenseEmphasis">
    <w:name w:val="Intense Emphasis"/>
    <w:basedOn w:val="DefaultParagraphFont"/>
    <w:uiPriority w:val="21"/>
    <w:qFormat/>
    <w:rsid w:val="00335D53"/>
    <w:rPr>
      <w:i/>
      <w:iCs/>
      <w:color w:val="2E74B5" w:themeColor="accent1" w:themeShade="BF"/>
    </w:rPr>
  </w:style>
  <w:style w:type="paragraph" w:styleId="IntenseQuote">
    <w:name w:val="Intense Quote"/>
    <w:basedOn w:val="Normal"/>
    <w:next w:val="Normal"/>
    <w:link w:val="IntenseQuoteChar"/>
    <w:uiPriority w:val="30"/>
    <w:qFormat/>
    <w:rsid w:val="00335D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35D53"/>
    <w:rPr>
      <w:rFonts w:ascii="Century Schoolbook" w:hAnsi="Century Schoolbook" w:cs="Times New Roman"/>
      <w:i/>
      <w:iCs/>
      <w:color w:val="2E74B5" w:themeColor="accent1" w:themeShade="BF"/>
      <w:sz w:val="24"/>
    </w:rPr>
  </w:style>
  <w:style w:type="character" w:styleId="IntenseReference">
    <w:name w:val="Intense Reference"/>
    <w:basedOn w:val="DefaultParagraphFont"/>
    <w:uiPriority w:val="32"/>
    <w:qFormat/>
    <w:rsid w:val="00335D53"/>
    <w:rPr>
      <w:b/>
      <w:bCs/>
      <w:smallCaps/>
      <w:color w:val="2E74B5" w:themeColor="accent1" w:themeShade="BF"/>
      <w:spacing w:val="5"/>
    </w:rPr>
  </w:style>
  <w:style w:type="paragraph" w:styleId="FootnoteText">
    <w:name w:val="footnote text"/>
    <w:basedOn w:val="Normal"/>
    <w:link w:val="FootnoteTextChar"/>
    <w:uiPriority w:val="99"/>
    <w:unhideWhenUsed/>
    <w:rsid w:val="00CE1839"/>
    <w:pPr>
      <w:spacing w:line="240" w:lineRule="auto"/>
    </w:pPr>
    <w:rPr>
      <w:sz w:val="20"/>
      <w:szCs w:val="20"/>
    </w:rPr>
  </w:style>
  <w:style w:type="character" w:customStyle="1" w:styleId="FootnoteTextChar">
    <w:name w:val="Footnote Text Char"/>
    <w:basedOn w:val="DefaultParagraphFont"/>
    <w:link w:val="FootnoteText"/>
    <w:uiPriority w:val="99"/>
    <w:rsid w:val="00CE1839"/>
    <w:rPr>
      <w:rFonts w:ascii="Century Schoolbook" w:hAnsi="Century Schoolbook" w:cs="Times New Roman"/>
      <w:sz w:val="20"/>
      <w:szCs w:val="20"/>
    </w:rPr>
  </w:style>
  <w:style w:type="character" w:styleId="FootnoteReference">
    <w:name w:val="footnote reference"/>
    <w:basedOn w:val="DefaultParagraphFont"/>
    <w:uiPriority w:val="99"/>
    <w:semiHidden/>
    <w:unhideWhenUsed/>
    <w:rsid w:val="00CE1839"/>
    <w:rPr>
      <w:vertAlign w:val="superscript"/>
    </w:rPr>
  </w:style>
  <w:style w:type="table" w:styleId="TableGrid">
    <w:name w:val="Table Grid"/>
    <w:basedOn w:val="TableNormal"/>
    <w:uiPriority w:val="39"/>
    <w:rsid w:val="0058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7A0"/>
    <w:pPr>
      <w:tabs>
        <w:tab w:val="center" w:pos="4680"/>
        <w:tab w:val="right" w:pos="9360"/>
      </w:tabs>
      <w:spacing w:line="240" w:lineRule="auto"/>
    </w:pPr>
  </w:style>
  <w:style w:type="character" w:customStyle="1" w:styleId="HeaderChar">
    <w:name w:val="Header Char"/>
    <w:basedOn w:val="DefaultParagraphFont"/>
    <w:link w:val="Header"/>
    <w:uiPriority w:val="99"/>
    <w:rsid w:val="005B67A0"/>
    <w:rPr>
      <w:rFonts w:ascii="Century Schoolbook" w:hAnsi="Century Schoolbook" w:cs="Times New Roman"/>
      <w:sz w:val="24"/>
    </w:rPr>
  </w:style>
  <w:style w:type="paragraph" w:styleId="Footer">
    <w:name w:val="footer"/>
    <w:basedOn w:val="Normal"/>
    <w:link w:val="FooterChar"/>
    <w:uiPriority w:val="99"/>
    <w:unhideWhenUsed/>
    <w:rsid w:val="005B67A0"/>
    <w:pPr>
      <w:tabs>
        <w:tab w:val="center" w:pos="4680"/>
        <w:tab w:val="right" w:pos="9360"/>
      </w:tabs>
      <w:spacing w:line="240" w:lineRule="auto"/>
    </w:pPr>
  </w:style>
  <w:style w:type="character" w:customStyle="1" w:styleId="FooterChar">
    <w:name w:val="Footer Char"/>
    <w:basedOn w:val="DefaultParagraphFont"/>
    <w:link w:val="Footer"/>
    <w:uiPriority w:val="99"/>
    <w:rsid w:val="005B67A0"/>
    <w:rPr>
      <w:rFonts w:ascii="Century Schoolbook" w:hAnsi="Century Schoolbook" w:cs="Times New Roman"/>
      <w:sz w:val="24"/>
    </w:rPr>
  </w:style>
  <w:style w:type="paragraph" w:styleId="Revision">
    <w:name w:val="Revision"/>
    <w:hidden/>
    <w:uiPriority w:val="99"/>
    <w:semiHidden/>
    <w:rsid w:val="001A2999"/>
    <w:pPr>
      <w:spacing w:after="0" w:line="240" w:lineRule="auto"/>
    </w:pPr>
    <w:rPr>
      <w:rFonts w:ascii="Century Schoolbook" w:hAnsi="Century Schoolbook"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7EDE-0E4E-44D5-8C7E-973A3F1C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38</Pages>
  <Words>7100</Words>
  <Characters>39553</Characters>
  <Application>Microsoft Office Word</Application>
  <DocSecurity>0</DocSecurity>
  <Lines>1236</Lines>
  <Paragraphs>666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dc:description/>
  <cp:lastModifiedBy>Michael Bardwell</cp:lastModifiedBy>
  <cp:revision>14</cp:revision>
  <cp:lastPrinted>2026-03-24T23:17:00Z</cp:lastPrinted>
  <dcterms:created xsi:type="dcterms:W3CDTF">2026-04-08T18:47:00Z</dcterms:created>
  <dcterms:modified xsi:type="dcterms:W3CDTF">2026-04-08T20:26:00Z</dcterms:modified>
</cp:coreProperties>
</file>